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B89" w:rsidRPr="00795B89" w:rsidRDefault="00795B89" w:rsidP="00DA5725">
      <w:pPr>
        <w:widowControl w:val="0"/>
        <w:adjustRightInd w:val="0"/>
        <w:rPr>
          <w:rFonts w:ascii="Arial" w:hAnsi="Arial" w:cs="Arial"/>
          <w:b/>
          <w:sz w:val="32"/>
          <w:szCs w:val="32"/>
          <w:u w:val="single"/>
        </w:rPr>
      </w:pPr>
      <w:r w:rsidRPr="00795B89">
        <w:rPr>
          <w:rFonts w:ascii="Arial" w:hAnsi="Arial" w:cs="Arial"/>
          <w:b/>
          <w:sz w:val="32"/>
          <w:szCs w:val="32"/>
          <w:u w:val="single"/>
        </w:rPr>
        <w:t>TŰZVÉDELMI MŰSZAKI LEÍRÁS ÉS SZAKÉRTŐI NYILATKOZAT</w:t>
      </w:r>
    </w:p>
    <w:p w:rsidR="00795B89" w:rsidRPr="00653028" w:rsidRDefault="00795B89" w:rsidP="00795B89"/>
    <w:p w:rsidR="00795B89" w:rsidRPr="00795B89" w:rsidRDefault="00795B89" w:rsidP="00795B89">
      <w:pPr>
        <w:rPr>
          <w:rFonts w:ascii="Arial" w:hAnsi="Arial" w:cs="Arial"/>
        </w:rPr>
      </w:pPr>
      <w:r w:rsidRPr="00795B89">
        <w:rPr>
          <w:rFonts w:ascii="Arial" w:hAnsi="Arial" w:cs="Arial"/>
        </w:rPr>
        <w:t>A tervdokumentáció összeállítása során az Országos Tűzvédelmi Szabályzatról szóló 54/2014. (XII. 5.) BM rendelet (továbbiakban OTSZ) előírásait vettük figyelembe, illetve egyes speciális szakkérdések esetén a Tűzvédelmi Műszaki Irányelvekben foglaltakat.</w:t>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Előzmények, tervezett építészeti kialakítások, alapadatok:</w:t>
      </w:r>
    </w:p>
    <w:p w:rsidR="00795B89" w:rsidRPr="00795B89" w:rsidRDefault="00795B89" w:rsidP="00795B89">
      <w:pPr>
        <w:rPr>
          <w:rFonts w:ascii="Arial" w:hAnsi="Arial" w:cs="Arial"/>
          <w:color w:val="000000"/>
        </w:rPr>
      </w:pPr>
    </w:p>
    <w:p w:rsidR="00795B89" w:rsidRPr="00795B89" w:rsidRDefault="00795B89" w:rsidP="00795B89">
      <w:pPr>
        <w:rPr>
          <w:rFonts w:ascii="Arial" w:hAnsi="Arial" w:cs="Arial"/>
        </w:rPr>
      </w:pPr>
      <w:r w:rsidRPr="00795B89">
        <w:rPr>
          <w:rFonts w:ascii="Arial" w:hAnsi="Arial" w:cs="Arial"/>
        </w:rPr>
        <w:t xml:space="preserve">A </w:t>
      </w:r>
      <w:r w:rsidRPr="00795B89">
        <w:rPr>
          <w:rFonts w:ascii="Arial" w:hAnsi="Arial" w:cs="Arial"/>
          <w:bCs/>
        </w:rPr>
        <w:t>Székesfehérvár, 4395</w:t>
      </w:r>
      <w:r w:rsidR="004A0D40">
        <w:rPr>
          <w:rFonts w:ascii="Arial" w:hAnsi="Arial" w:cs="Arial"/>
          <w:bCs/>
        </w:rPr>
        <w:t>/6</w:t>
      </w:r>
      <w:r w:rsidRPr="00795B89">
        <w:rPr>
          <w:rFonts w:ascii="Arial" w:hAnsi="Arial" w:cs="Arial"/>
          <w:bCs/>
        </w:rPr>
        <w:t xml:space="preserve"> hrsz. alatti szedreskerti fűtőmű területén a </w:t>
      </w:r>
      <w:r w:rsidRPr="00795B89">
        <w:rPr>
          <w:rFonts w:ascii="Arial" w:hAnsi="Arial" w:cs="Arial"/>
        </w:rPr>
        <w:t>jelenlegi korszerűtlen négy kazánegység helyett három új, korszerű Bosch kazánegység kerül beépítésre.</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kazánházi épület a 4395</w:t>
      </w:r>
      <w:r w:rsidR="004A0D40">
        <w:rPr>
          <w:rFonts w:ascii="Arial" w:hAnsi="Arial" w:cs="Arial"/>
        </w:rPr>
        <w:t>/6</w:t>
      </w:r>
      <w:r w:rsidRPr="00795B89">
        <w:rPr>
          <w:rFonts w:ascii="Arial" w:hAnsi="Arial" w:cs="Arial"/>
        </w:rPr>
        <w:t xml:space="preserve"> hrsz-ú telken, a Szed</w:t>
      </w:r>
      <w:r w:rsidR="004A0D40">
        <w:rPr>
          <w:rFonts w:ascii="Arial" w:hAnsi="Arial" w:cs="Arial"/>
        </w:rPr>
        <w:t>e</w:t>
      </w:r>
      <w:r w:rsidRPr="00795B89">
        <w:rPr>
          <w:rFonts w:ascii="Arial" w:hAnsi="Arial" w:cs="Arial"/>
        </w:rPr>
        <w:t>r utcával párhuzamosan, ÉK-DNY hossztengellyel helyezkedik el az utcavonaltól kb. 30 m távolságban. A kazánházi épület környezetében többszintes lakóépületek találhatóak.</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 xml:space="preserve">A fűtőmű 30,76 x </w:t>
      </w:r>
      <w:smartTag w:uri="urn:schemas-microsoft-com:office:smarttags" w:element="metricconverter">
        <w:smartTagPr>
          <w:attr w:name="ProductID" w:val="14,43 m"/>
        </w:smartTagPr>
        <w:r w:rsidRPr="00795B89">
          <w:rPr>
            <w:rFonts w:ascii="Arial" w:hAnsi="Arial" w:cs="Arial"/>
          </w:rPr>
          <w:t>14,43 m</w:t>
        </w:r>
      </w:smartTag>
      <w:r w:rsidRPr="00795B89">
        <w:rPr>
          <w:rFonts w:ascii="Arial" w:hAnsi="Arial" w:cs="Arial"/>
        </w:rPr>
        <w:t xml:space="preserve"> nagyságú, földszintes épület, </w:t>
      </w:r>
      <w:smartTag w:uri="urn:schemas-microsoft-com:office:smarttags" w:element="metricconverter">
        <w:smartTagPr>
          <w:attr w:name="ProductID" w:val="443,86 m2"/>
        </w:smartTagPr>
        <w:r w:rsidRPr="00795B89">
          <w:rPr>
            <w:rFonts w:ascii="Arial" w:hAnsi="Arial" w:cs="Arial"/>
          </w:rPr>
          <w:t>443,86 m</w:t>
        </w:r>
        <w:r w:rsidRPr="00795B89">
          <w:rPr>
            <w:rFonts w:ascii="Arial" w:hAnsi="Arial" w:cs="Arial"/>
            <w:vertAlign w:val="superscript"/>
          </w:rPr>
          <w:t>2</w:t>
        </w:r>
      </w:smartTag>
      <w:r w:rsidRPr="00795B89">
        <w:rPr>
          <w:rFonts w:ascii="Arial" w:hAnsi="Arial" w:cs="Arial"/>
        </w:rPr>
        <w:t xml:space="preserve"> beépített alapterülettel. Az épület belmagassága átlagosan 6,9 m, a tető két hosszoldali irányban 3%-os lejtéssel készült. Szerkezete acél pillérek, 6,0 x 6,0 m-ként, acél főtartók, szelemenek és trapézlemez fedéssel, alatta szerelt jellegű hőszigetelés és álmennyezet. Az oldalfalak közül a két végfal falazott tömör nyerstéglafal, a hosszfalaknál alacsony tégla mellvédfal (0,53 m illetve </w:t>
      </w:r>
      <w:smartTag w:uri="urn:schemas-microsoft-com:office:smarttags" w:element="metricconverter">
        <w:smartTagPr>
          <w:attr w:name="ProductID" w:val="2,11 m"/>
        </w:smartTagPr>
        <w:r w:rsidRPr="00795B89">
          <w:rPr>
            <w:rFonts w:ascii="Arial" w:hAnsi="Arial" w:cs="Arial"/>
          </w:rPr>
          <w:t>2,11 m</w:t>
        </w:r>
      </w:smartTag>
      <w:r w:rsidRPr="00795B89">
        <w:rPr>
          <w:rFonts w:ascii="Arial" w:hAnsi="Arial" w:cs="Arial"/>
        </w:rPr>
        <w:t>) felett párkányig acélszerkezetű üvegfalak készültek. Az épület déli végfala melletti utolsó 6,0 m-es traktus kétszintes, itt egy közbenső 4,0 m-es szinten galéria helyezkedik el.</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kétszintes épületrészen fekete-fehér öltöző, mosdó-zuhanyozó és WC-vel, összesen 36 m</w:t>
      </w:r>
      <w:r w:rsidRPr="00795B89">
        <w:rPr>
          <w:rFonts w:ascii="Arial" w:hAnsi="Arial" w:cs="Arial"/>
          <w:vertAlign w:val="superscript"/>
        </w:rPr>
        <w:t>2</w:t>
      </w:r>
      <w:r w:rsidRPr="00795B89">
        <w:rPr>
          <w:rFonts w:ascii="Arial" w:hAnsi="Arial" w:cs="Arial"/>
        </w:rPr>
        <w:t>-en, raktárhelyiség 23 m</w:t>
      </w:r>
      <w:r w:rsidRPr="00795B89">
        <w:rPr>
          <w:rFonts w:ascii="Arial" w:hAnsi="Arial" w:cs="Arial"/>
          <w:vertAlign w:val="superscript"/>
        </w:rPr>
        <w:t>2</w:t>
      </w:r>
      <w:r w:rsidRPr="00795B89">
        <w:rPr>
          <w:rFonts w:ascii="Arial" w:hAnsi="Arial" w:cs="Arial"/>
        </w:rPr>
        <w:t>-en, közlekedő feljáró lépcsővel és egy 8 m</w:t>
      </w:r>
      <w:r w:rsidRPr="00795B89">
        <w:rPr>
          <w:rFonts w:ascii="Arial" w:hAnsi="Arial" w:cs="Arial"/>
          <w:vertAlign w:val="superscript"/>
        </w:rPr>
        <w:t>2</w:t>
      </w:r>
      <w:r w:rsidRPr="00795B89">
        <w:rPr>
          <w:rFonts w:ascii="Arial" w:hAnsi="Arial" w:cs="Arial"/>
        </w:rPr>
        <w:t>-es kis irodahelyiség található, letekintéssel a kazántér felé. A galéria szerkezete a téglafalakra támaszkodó FERT födém, rajta hidegburkolatok.</w:t>
      </w:r>
    </w:p>
    <w:p w:rsidR="00795B89" w:rsidRPr="00795B89" w:rsidRDefault="00795B89" w:rsidP="00795B89">
      <w:pPr>
        <w:rPr>
          <w:rFonts w:ascii="Arial" w:hAnsi="Arial" w:cs="Arial"/>
        </w:rPr>
      </w:pPr>
    </w:p>
    <w:p w:rsidR="00795B89" w:rsidRPr="00795B89" w:rsidRDefault="00795B89" w:rsidP="00795B89">
      <w:pPr>
        <w:rPr>
          <w:rFonts w:ascii="Arial" w:hAnsi="Arial" w:cs="Arial"/>
          <w:u w:val="single"/>
        </w:rPr>
      </w:pPr>
      <w:r w:rsidRPr="00795B89">
        <w:rPr>
          <w:rFonts w:ascii="Arial" w:hAnsi="Arial" w:cs="Arial"/>
          <w:u w:val="single"/>
        </w:rPr>
        <w:t>Tervezett építészeti átalakítások:</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új kazánok a meglévő kazánalapokra kerülnek elhelyezésre, részükre a szerkezeti műleírás szerinti acél teherelosztó gerendákat be kell építeni. A kazánok a meglévő kéményekhez csatlakoznak, ezt szükség szerint kell kialakítani, helyszíni utasítás szerint.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Elbontásra kerülnek a homlokzati üvegfalak, ezek helyén új szendvicspanel falszerkezetet kerül kialakításra. Ehhez a tartószerkezetnek a jelenlegi vb. talpgerendára állított új belső acél pillérek kerülnek elhelyezésre, felül acélgerendával összemerevítve, a statikus műleírás szerint. A pillérekhez kerülnek rögzítésre az új szendvicspanelek, amelyek 12 cm vastag ásványgyapot hőszigetelésű KINGSPAN vagy azzal egyenértékű panelek lehetnek.</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kazánok beszállításához, cseréjéhez az új homlokzati falban 3,0 x 4,0 m-es bontható űrszelvényt kell kialakítani, ezért itt a homlokzati paneleknek is bonthatónak kell lenniük. A panelfalban a megadott tengelyvonalakkal, 3 db nagyméretű 3,0 x 1,0 m-es szellőzőzsalu beépítése is szükséges.</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vízlágyító helyiségből leválasztásra kerül</w:t>
      </w:r>
      <w:bookmarkStart w:id="0" w:name="_GoBack"/>
      <w:bookmarkEnd w:id="0"/>
      <w:r w:rsidRPr="00795B89">
        <w:rPr>
          <w:rFonts w:ascii="Arial" w:hAnsi="Arial" w:cs="Arial"/>
        </w:rPr>
        <w:t xml:space="preserve"> egy elektromos helyiség, </w:t>
      </w:r>
      <w:smartTag w:uri="urn:schemas-microsoft-com:office:smarttags" w:element="metricconverter">
        <w:smartTagPr>
          <w:attr w:name="ProductID" w:val="7,56 m2"/>
        </w:smartTagPr>
        <w:r w:rsidRPr="00795B89">
          <w:rPr>
            <w:rFonts w:ascii="Arial" w:hAnsi="Arial" w:cs="Arial"/>
          </w:rPr>
          <w:t>7,56 m</w:t>
        </w:r>
        <w:r w:rsidRPr="00795B89">
          <w:rPr>
            <w:rFonts w:ascii="Arial" w:hAnsi="Arial" w:cs="Arial"/>
            <w:vertAlign w:val="superscript"/>
          </w:rPr>
          <w:t>2</w:t>
        </w:r>
      </w:smartTag>
      <w:r w:rsidRPr="00795B89">
        <w:rPr>
          <w:rFonts w:ascii="Arial" w:hAnsi="Arial" w:cs="Arial"/>
        </w:rPr>
        <w:t xml:space="preserve"> alapterülettel és új külső bejárati ajtó kialakításával. A leválasztás </w:t>
      </w:r>
      <w:smartTag w:uri="urn:schemas-microsoft-com:office:smarttags" w:element="metricconverter">
        <w:smartTagPr>
          <w:attr w:name="ProductID" w:val="12 cm"/>
        </w:smartTagPr>
        <w:r w:rsidRPr="00795B89">
          <w:rPr>
            <w:rFonts w:ascii="Arial" w:hAnsi="Arial" w:cs="Arial"/>
          </w:rPr>
          <w:t>12 cm</w:t>
        </w:r>
      </w:smartTag>
      <w:r w:rsidRPr="00795B89">
        <w:rPr>
          <w:rFonts w:ascii="Arial" w:hAnsi="Arial" w:cs="Arial"/>
        </w:rPr>
        <w:t xml:space="preserve"> vastag téglafalazattal készítendő, kétoldali vakolással. Padlóburkolata szikramentes aszfalt lesz.</w:t>
      </w:r>
    </w:p>
    <w:p w:rsidR="00795B89" w:rsidRPr="00795B89" w:rsidRDefault="00795B89" w:rsidP="00795B89">
      <w:pPr>
        <w:rPr>
          <w:rFonts w:ascii="Arial" w:hAnsi="Arial" w:cs="Arial"/>
        </w:rPr>
      </w:pPr>
      <w:r w:rsidRPr="00795B89">
        <w:rPr>
          <w:rFonts w:ascii="Arial" w:hAnsi="Arial" w:cs="Arial"/>
        </w:rPr>
        <w:t>A tervezett korszerűsítéssel egyidőben a kazántér és a vízlágyító padlója szikramentes burkolatot kap, az emeleti szinten felújításra kerülnek a helyiségek (festés, padlóburkolat csere), a megmaradó tégla homlokzati felületeknél a felület letisztítása és javítása valamint a megmaradó nyílászárók felújító mázolására kerül sor.</w:t>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Az építmény kockázati egységei, kockázati osztályba sorolása:</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 xml:space="preserve">Az OTSZ 4. § (2) bekezdés „2. </w:t>
      </w:r>
      <w:r w:rsidRPr="00795B89">
        <w:rPr>
          <w:rFonts w:ascii="Arial" w:hAnsi="Arial" w:cs="Arial"/>
          <w:i/>
          <w:iCs/>
        </w:rPr>
        <w:t>alaprendeltetés:</w:t>
      </w:r>
      <w:r w:rsidRPr="00795B89">
        <w:rPr>
          <w:rFonts w:ascii="Arial" w:hAnsi="Arial" w:cs="Arial"/>
        </w:rPr>
        <w:t xml:space="preserve"> a kockázati egységek rendeltetés szerinti elkülönítéséhez és az ettől függő tűzvédelmi követelmények megállapításához szükséges, a kockázati egység, valamint a kockázati egységen belül önálló rendeltetési egységek jellemző, elsődleges használati célját kifejező besorolás, amely lehet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i/>
          <w:iCs/>
        </w:rPr>
        <w:t>…. a)</w:t>
      </w:r>
      <w:r w:rsidRPr="00795B89">
        <w:rPr>
          <w:rFonts w:ascii="Arial" w:hAnsi="Arial" w:cs="Arial"/>
        </w:rPr>
        <w:t xml:space="preserve"> </w:t>
      </w:r>
      <w:r w:rsidRPr="00795B89">
        <w:rPr>
          <w:rFonts w:ascii="Arial" w:hAnsi="Arial" w:cs="Arial"/>
          <w:i/>
          <w:iCs/>
        </w:rPr>
        <w:t>ipari-mezőgazdasági alaprendeltetés: ipari, mezőgazdasági rendeltetésű önálló rendeltetési egységet tartalmazó kockázati egység alaprendeltetése</w:t>
      </w:r>
      <w:r w:rsidRPr="00795B89">
        <w:rPr>
          <w:rFonts w:ascii="Arial" w:hAnsi="Arial" w:cs="Arial"/>
        </w:rPr>
        <w: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fentiek alapján a tervezett kazánház épülete ipari alaprendeltetésű.</w:t>
      </w:r>
    </w:p>
    <w:p w:rsidR="00795B89" w:rsidRPr="00795B89" w:rsidRDefault="00795B89" w:rsidP="00795B89">
      <w:pPr>
        <w:rPr>
          <w:rFonts w:ascii="Arial" w:hAnsi="Arial" w:cs="Arial"/>
          <w:u w:val="single"/>
        </w:rPr>
      </w:pPr>
    </w:p>
    <w:p w:rsidR="00795B89" w:rsidRPr="00795B89" w:rsidRDefault="00795B89" w:rsidP="00795B89">
      <w:pPr>
        <w:rPr>
          <w:rFonts w:ascii="Arial" w:hAnsi="Arial" w:cs="Arial"/>
          <w:b/>
          <w:bCs/>
          <w:u w:val="single"/>
        </w:rPr>
      </w:pPr>
      <w:r w:rsidRPr="00795B89">
        <w:rPr>
          <w:rFonts w:ascii="Arial" w:hAnsi="Arial" w:cs="Arial"/>
          <w:b/>
          <w:bCs/>
          <w:u w:val="single"/>
        </w:rPr>
        <w:t>Kockázati egység kockázati osztálya:</w:t>
      </w:r>
    </w:p>
    <w:p w:rsidR="00795B89" w:rsidRPr="00795B89" w:rsidRDefault="00795B89" w:rsidP="00795B89">
      <w:pPr>
        <w:rPr>
          <w:rFonts w:ascii="Arial" w:hAnsi="Arial" w:cs="Arial"/>
          <w:u w:val="single"/>
        </w:rPr>
      </w:pPr>
    </w:p>
    <w:p w:rsidR="00795B89" w:rsidRPr="00795B89" w:rsidRDefault="00795B89" w:rsidP="00795B89">
      <w:pPr>
        <w:rPr>
          <w:rFonts w:ascii="Arial" w:hAnsi="Arial" w:cs="Arial"/>
        </w:rPr>
      </w:pPr>
      <w:r w:rsidRPr="00795B89">
        <w:rPr>
          <w:rFonts w:ascii="Arial" w:hAnsi="Arial" w:cs="Arial"/>
        </w:rPr>
        <w:t xml:space="preserve">A tervezett épület ipari alaprendeltetésű, földszint + emelet kialakítású. A kazánház egy önálló rendeltetési egység, egy kockázati egységként és egy tűzszakaszként kerül kialakításra. </w:t>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rPr>
        <w:t>Az OTSZ 10. § (4) bekezdése alapján a kockázati egységek részét képezik a közlekedő helyiségek, a rendeltetéssel összefüggő tárolásra szolgáló helyiségek, a villamos, valamint gépészeti helyiségek.</w:t>
      </w:r>
    </w:p>
    <w:p w:rsidR="00795B89" w:rsidRPr="007F5292" w:rsidRDefault="00795B89" w:rsidP="00795B89"/>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1559"/>
        <w:gridCol w:w="1559"/>
        <w:gridCol w:w="1843"/>
        <w:gridCol w:w="1318"/>
      </w:tblGrid>
      <w:tr w:rsidR="00795B89" w:rsidRPr="007F5292" w:rsidTr="006C6762">
        <w:tc>
          <w:tcPr>
            <w:tcW w:w="1668" w:type="dxa"/>
          </w:tcPr>
          <w:p w:rsidR="00795B89" w:rsidRPr="007F5292" w:rsidRDefault="00795B89" w:rsidP="006C6762">
            <w:pPr>
              <w:rPr>
                <w:b/>
                <w:bCs/>
                <w:sz w:val="20"/>
                <w:szCs w:val="20"/>
              </w:rPr>
            </w:pPr>
          </w:p>
        </w:tc>
        <w:tc>
          <w:tcPr>
            <w:tcW w:w="1701" w:type="dxa"/>
          </w:tcPr>
          <w:p w:rsidR="00795B89" w:rsidRPr="007F5292" w:rsidRDefault="00795B89" w:rsidP="006C6762">
            <w:pPr>
              <w:jc w:val="center"/>
              <w:rPr>
                <w:sz w:val="20"/>
                <w:szCs w:val="20"/>
              </w:rPr>
            </w:pPr>
            <w:r w:rsidRPr="007F5292">
              <w:rPr>
                <w:sz w:val="20"/>
                <w:szCs w:val="20"/>
              </w:rPr>
              <w:t>Legfelső építményszint szintmagassága</w:t>
            </w:r>
          </w:p>
        </w:tc>
        <w:tc>
          <w:tcPr>
            <w:tcW w:w="1559" w:type="dxa"/>
          </w:tcPr>
          <w:p w:rsidR="00795B89" w:rsidRPr="007F5292" w:rsidRDefault="00795B89" w:rsidP="006C6762">
            <w:pPr>
              <w:jc w:val="center"/>
              <w:rPr>
                <w:sz w:val="20"/>
                <w:szCs w:val="20"/>
              </w:rPr>
            </w:pPr>
            <w:r w:rsidRPr="007F5292">
              <w:rPr>
                <w:sz w:val="20"/>
                <w:szCs w:val="20"/>
              </w:rPr>
              <w:t>Legalsó építményszint magassága</w:t>
            </w:r>
          </w:p>
        </w:tc>
        <w:tc>
          <w:tcPr>
            <w:tcW w:w="1559" w:type="dxa"/>
          </w:tcPr>
          <w:p w:rsidR="00795B89" w:rsidRPr="007F5292" w:rsidRDefault="00795B89" w:rsidP="006C6762">
            <w:pPr>
              <w:jc w:val="center"/>
              <w:rPr>
                <w:sz w:val="20"/>
                <w:szCs w:val="20"/>
              </w:rPr>
            </w:pPr>
            <w:r w:rsidRPr="007F5292">
              <w:rPr>
                <w:sz w:val="20"/>
                <w:szCs w:val="20"/>
              </w:rPr>
              <w:t>Legnagyobb helyiség befogadó képessége</w:t>
            </w:r>
          </w:p>
        </w:tc>
        <w:tc>
          <w:tcPr>
            <w:tcW w:w="1843" w:type="dxa"/>
          </w:tcPr>
          <w:p w:rsidR="00795B89" w:rsidRPr="007F5292" w:rsidRDefault="00795B89" w:rsidP="006C6762">
            <w:pPr>
              <w:jc w:val="center"/>
              <w:rPr>
                <w:sz w:val="20"/>
                <w:szCs w:val="20"/>
              </w:rPr>
            </w:pPr>
            <w:r w:rsidRPr="007F5292">
              <w:rPr>
                <w:sz w:val="20"/>
                <w:szCs w:val="20"/>
              </w:rPr>
              <w:t>menekülési képességek</w:t>
            </w:r>
          </w:p>
        </w:tc>
        <w:tc>
          <w:tcPr>
            <w:tcW w:w="1318" w:type="dxa"/>
          </w:tcPr>
          <w:p w:rsidR="00795B89" w:rsidRPr="007F5292" w:rsidRDefault="00795B89" w:rsidP="006C6762">
            <w:pPr>
              <w:jc w:val="center"/>
              <w:rPr>
                <w:sz w:val="20"/>
                <w:szCs w:val="20"/>
              </w:rPr>
            </w:pPr>
            <w:r w:rsidRPr="007F5292">
              <w:rPr>
                <w:sz w:val="20"/>
                <w:szCs w:val="20"/>
              </w:rPr>
              <w:t>3 -4. táblázat</w:t>
            </w:r>
          </w:p>
          <w:p w:rsidR="00795B89" w:rsidRPr="007F5292" w:rsidRDefault="00795B89" w:rsidP="006C6762">
            <w:pPr>
              <w:jc w:val="center"/>
              <w:rPr>
                <w:sz w:val="20"/>
                <w:szCs w:val="20"/>
              </w:rPr>
            </w:pPr>
          </w:p>
        </w:tc>
      </w:tr>
      <w:tr w:rsidR="00795B89" w:rsidRPr="007F5292" w:rsidTr="006C6762">
        <w:tc>
          <w:tcPr>
            <w:tcW w:w="1668" w:type="dxa"/>
          </w:tcPr>
          <w:p w:rsidR="00795B89" w:rsidRPr="007F5292" w:rsidRDefault="00795B89" w:rsidP="006C6762">
            <w:pPr>
              <w:rPr>
                <w:b/>
                <w:bCs/>
                <w:sz w:val="20"/>
                <w:szCs w:val="20"/>
                <w:u w:val="single"/>
              </w:rPr>
            </w:pPr>
          </w:p>
        </w:tc>
        <w:tc>
          <w:tcPr>
            <w:tcW w:w="1701" w:type="dxa"/>
          </w:tcPr>
          <w:p w:rsidR="00795B89" w:rsidRPr="007F5292" w:rsidRDefault="00795B89" w:rsidP="006C6762">
            <w:pPr>
              <w:jc w:val="center"/>
              <w:rPr>
                <w:sz w:val="20"/>
                <w:szCs w:val="20"/>
              </w:rPr>
            </w:pPr>
            <w:r w:rsidRPr="007F5292">
              <w:rPr>
                <w:sz w:val="20"/>
                <w:szCs w:val="20"/>
              </w:rPr>
              <w:t>0,00 - 7,00</w:t>
            </w:r>
          </w:p>
          <w:p w:rsidR="00795B89" w:rsidRPr="007F5292" w:rsidRDefault="00795B89" w:rsidP="006C6762">
            <w:pPr>
              <w:jc w:val="center"/>
              <w:rPr>
                <w:sz w:val="20"/>
                <w:szCs w:val="20"/>
              </w:rPr>
            </w:pPr>
            <w:r>
              <w:rPr>
                <w:sz w:val="20"/>
                <w:szCs w:val="20"/>
              </w:rPr>
              <w:t>emeleti s</w:t>
            </w:r>
            <w:r w:rsidRPr="007F5292">
              <w:rPr>
                <w:sz w:val="20"/>
                <w:szCs w:val="20"/>
              </w:rPr>
              <w:t>zint</w:t>
            </w:r>
          </w:p>
          <w:p w:rsidR="00795B89" w:rsidRPr="007F5292" w:rsidRDefault="00795B89" w:rsidP="006C6762">
            <w:pPr>
              <w:jc w:val="center"/>
              <w:rPr>
                <w:sz w:val="20"/>
                <w:szCs w:val="20"/>
              </w:rPr>
            </w:pPr>
            <w:r w:rsidRPr="007F5292">
              <w:rPr>
                <w:sz w:val="20"/>
                <w:szCs w:val="20"/>
              </w:rPr>
              <w:t>+</w:t>
            </w:r>
            <w:r>
              <w:rPr>
                <w:sz w:val="20"/>
                <w:szCs w:val="20"/>
              </w:rPr>
              <w:t>4</w:t>
            </w:r>
            <w:r w:rsidRPr="007F5292">
              <w:rPr>
                <w:sz w:val="20"/>
                <w:szCs w:val="20"/>
              </w:rPr>
              <w:t>,00 m</w:t>
            </w:r>
          </w:p>
        </w:tc>
        <w:tc>
          <w:tcPr>
            <w:tcW w:w="1559" w:type="dxa"/>
          </w:tcPr>
          <w:p w:rsidR="00795B89" w:rsidRPr="007F5292" w:rsidRDefault="00795B89" w:rsidP="006C6762">
            <w:pPr>
              <w:jc w:val="center"/>
              <w:rPr>
                <w:sz w:val="20"/>
                <w:szCs w:val="20"/>
              </w:rPr>
            </w:pPr>
            <w:r w:rsidRPr="007F5292">
              <w:rPr>
                <w:sz w:val="20"/>
                <w:szCs w:val="20"/>
              </w:rPr>
              <w:t>0,00 - -3,00</w:t>
            </w:r>
          </w:p>
          <w:p w:rsidR="00795B89" w:rsidRPr="007F5292" w:rsidRDefault="00795B89" w:rsidP="006C6762">
            <w:pPr>
              <w:jc w:val="center"/>
              <w:rPr>
                <w:sz w:val="20"/>
                <w:szCs w:val="20"/>
              </w:rPr>
            </w:pPr>
            <w:r>
              <w:rPr>
                <w:sz w:val="20"/>
                <w:szCs w:val="20"/>
              </w:rPr>
              <w:t>-</w:t>
            </w:r>
          </w:p>
          <w:p w:rsidR="00795B89" w:rsidRPr="007F5292" w:rsidRDefault="00795B89" w:rsidP="006C6762">
            <w:pPr>
              <w:jc w:val="center"/>
              <w:rPr>
                <w:sz w:val="20"/>
                <w:szCs w:val="20"/>
              </w:rPr>
            </w:pPr>
            <w:r>
              <w:rPr>
                <w:sz w:val="20"/>
                <w:szCs w:val="20"/>
              </w:rPr>
              <w:t>0</w:t>
            </w:r>
            <w:r w:rsidRPr="007F5292">
              <w:rPr>
                <w:sz w:val="20"/>
                <w:szCs w:val="20"/>
              </w:rPr>
              <w:t>,</w:t>
            </w:r>
            <w:r>
              <w:rPr>
                <w:sz w:val="20"/>
                <w:szCs w:val="20"/>
              </w:rPr>
              <w:t>0</w:t>
            </w:r>
            <w:r w:rsidRPr="007F5292">
              <w:rPr>
                <w:sz w:val="20"/>
                <w:szCs w:val="20"/>
              </w:rPr>
              <w:t xml:space="preserve">0 m </w:t>
            </w:r>
          </w:p>
        </w:tc>
        <w:tc>
          <w:tcPr>
            <w:tcW w:w="1559" w:type="dxa"/>
          </w:tcPr>
          <w:p w:rsidR="00795B89" w:rsidRPr="007F5292" w:rsidRDefault="00795B89" w:rsidP="006C6762">
            <w:pPr>
              <w:jc w:val="center"/>
              <w:rPr>
                <w:sz w:val="20"/>
                <w:szCs w:val="20"/>
              </w:rPr>
            </w:pPr>
            <w:r w:rsidRPr="007F5292">
              <w:rPr>
                <w:sz w:val="20"/>
                <w:szCs w:val="20"/>
              </w:rPr>
              <w:t>50 fő alatt</w:t>
            </w:r>
          </w:p>
          <w:p w:rsidR="00795B89" w:rsidRDefault="00795B89" w:rsidP="006C6762">
            <w:pPr>
              <w:jc w:val="center"/>
              <w:rPr>
                <w:sz w:val="20"/>
                <w:szCs w:val="20"/>
              </w:rPr>
            </w:pPr>
            <w:r>
              <w:rPr>
                <w:sz w:val="20"/>
                <w:szCs w:val="20"/>
              </w:rPr>
              <w:t>-</w:t>
            </w:r>
          </w:p>
          <w:p w:rsidR="00795B89" w:rsidRPr="007F5292" w:rsidRDefault="00795B89" w:rsidP="006C6762">
            <w:pPr>
              <w:jc w:val="center"/>
              <w:rPr>
                <w:sz w:val="20"/>
                <w:szCs w:val="20"/>
              </w:rPr>
            </w:pPr>
            <w:r>
              <w:rPr>
                <w:sz w:val="20"/>
                <w:szCs w:val="20"/>
              </w:rPr>
              <w:t>(nincs állandó emberi tartózkodás)</w:t>
            </w:r>
          </w:p>
        </w:tc>
        <w:tc>
          <w:tcPr>
            <w:tcW w:w="1843" w:type="dxa"/>
          </w:tcPr>
          <w:p w:rsidR="00795B89" w:rsidRPr="007F5292" w:rsidRDefault="00795B89" w:rsidP="006C6762">
            <w:pPr>
              <w:jc w:val="center"/>
              <w:rPr>
                <w:sz w:val="20"/>
                <w:szCs w:val="20"/>
              </w:rPr>
            </w:pPr>
            <w:r>
              <w:rPr>
                <w:sz w:val="20"/>
                <w:szCs w:val="20"/>
              </w:rPr>
              <w:t>önállóan</w:t>
            </w:r>
            <w:r w:rsidRPr="007F5292">
              <w:rPr>
                <w:sz w:val="20"/>
                <w:szCs w:val="20"/>
              </w:rPr>
              <w:t xml:space="preserve"> menekülnek</w:t>
            </w:r>
          </w:p>
          <w:p w:rsidR="00795B89" w:rsidRPr="007F5292" w:rsidRDefault="00795B89" w:rsidP="006C6762">
            <w:pPr>
              <w:jc w:val="center"/>
              <w:rPr>
                <w:sz w:val="20"/>
                <w:szCs w:val="20"/>
              </w:rPr>
            </w:pPr>
          </w:p>
          <w:p w:rsidR="00795B89" w:rsidRPr="007F5292" w:rsidRDefault="00795B89" w:rsidP="006C6762">
            <w:pPr>
              <w:jc w:val="center"/>
              <w:rPr>
                <w:sz w:val="20"/>
                <w:szCs w:val="20"/>
              </w:rPr>
            </w:pPr>
            <w:r>
              <w:rPr>
                <w:sz w:val="20"/>
                <w:szCs w:val="20"/>
              </w:rPr>
              <w:t>-</w:t>
            </w:r>
          </w:p>
        </w:tc>
        <w:tc>
          <w:tcPr>
            <w:tcW w:w="1318" w:type="dxa"/>
          </w:tcPr>
          <w:p w:rsidR="00795B89" w:rsidRPr="007F5292" w:rsidRDefault="00795B89" w:rsidP="006C6762">
            <w:pPr>
              <w:jc w:val="center"/>
              <w:rPr>
                <w:sz w:val="20"/>
                <w:szCs w:val="20"/>
              </w:rPr>
            </w:pPr>
            <w:r>
              <w:rPr>
                <w:sz w:val="20"/>
                <w:szCs w:val="20"/>
              </w:rPr>
              <w:t>*</w:t>
            </w:r>
          </w:p>
        </w:tc>
      </w:tr>
      <w:tr w:rsidR="00795B89" w:rsidRPr="007F5292" w:rsidTr="006C6762">
        <w:tc>
          <w:tcPr>
            <w:tcW w:w="1668" w:type="dxa"/>
            <w:vMerge w:val="restart"/>
            <w:vAlign w:val="center"/>
          </w:tcPr>
          <w:p w:rsidR="00795B89" w:rsidRPr="007F5292" w:rsidRDefault="00795B89" w:rsidP="006C6762">
            <w:pPr>
              <w:jc w:val="center"/>
              <w:rPr>
                <w:sz w:val="20"/>
                <w:szCs w:val="20"/>
              </w:rPr>
            </w:pPr>
            <w:r w:rsidRPr="007F5292">
              <w:rPr>
                <w:b/>
                <w:bCs/>
                <w:sz w:val="20"/>
                <w:szCs w:val="20"/>
              </w:rPr>
              <w:t>Kazánház</w:t>
            </w:r>
          </w:p>
        </w:tc>
        <w:tc>
          <w:tcPr>
            <w:tcW w:w="1701" w:type="dxa"/>
            <w:tcBorders>
              <w:bottom w:val="nil"/>
            </w:tcBorders>
          </w:tcPr>
          <w:p w:rsidR="00795B89" w:rsidRPr="007F5292" w:rsidRDefault="00795B89" w:rsidP="006C6762">
            <w:pPr>
              <w:jc w:val="center"/>
              <w:rPr>
                <w:sz w:val="20"/>
                <w:szCs w:val="20"/>
              </w:rPr>
            </w:pPr>
            <w:r w:rsidRPr="007F5292">
              <w:rPr>
                <w:sz w:val="20"/>
                <w:szCs w:val="20"/>
              </w:rPr>
              <w:t>NAK</w:t>
            </w:r>
          </w:p>
        </w:tc>
        <w:tc>
          <w:tcPr>
            <w:tcW w:w="1559" w:type="dxa"/>
            <w:tcBorders>
              <w:bottom w:val="nil"/>
            </w:tcBorders>
          </w:tcPr>
          <w:p w:rsidR="00795B89" w:rsidRPr="007F5292" w:rsidRDefault="00795B89" w:rsidP="006C6762">
            <w:pPr>
              <w:jc w:val="center"/>
              <w:rPr>
                <w:sz w:val="20"/>
                <w:szCs w:val="20"/>
              </w:rPr>
            </w:pPr>
            <w:r w:rsidRPr="007F5292">
              <w:rPr>
                <w:sz w:val="20"/>
                <w:szCs w:val="20"/>
              </w:rPr>
              <w:t>NAK</w:t>
            </w:r>
          </w:p>
        </w:tc>
        <w:tc>
          <w:tcPr>
            <w:tcW w:w="1559" w:type="dxa"/>
            <w:tcBorders>
              <w:bottom w:val="nil"/>
            </w:tcBorders>
          </w:tcPr>
          <w:p w:rsidR="00795B89" w:rsidRPr="007F5292" w:rsidRDefault="00795B89" w:rsidP="006C6762">
            <w:pPr>
              <w:jc w:val="center"/>
              <w:rPr>
                <w:sz w:val="20"/>
                <w:szCs w:val="20"/>
              </w:rPr>
            </w:pPr>
            <w:r w:rsidRPr="007F5292">
              <w:rPr>
                <w:sz w:val="20"/>
                <w:szCs w:val="20"/>
              </w:rPr>
              <w:t>NAK</w:t>
            </w:r>
          </w:p>
        </w:tc>
        <w:tc>
          <w:tcPr>
            <w:tcW w:w="1843" w:type="dxa"/>
            <w:tcBorders>
              <w:bottom w:val="nil"/>
            </w:tcBorders>
          </w:tcPr>
          <w:p w:rsidR="00795B89" w:rsidRPr="007F5292" w:rsidRDefault="00795B89" w:rsidP="006C6762">
            <w:pPr>
              <w:jc w:val="center"/>
              <w:rPr>
                <w:sz w:val="20"/>
                <w:szCs w:val="20"/>
              </w:rPr>
            </w:pPr>
            <w:r>
              <w:rPr>
                <w:sz w:val="20"/>
                <w:szCs w:val="20"/>
              </w:rPr>
              <w:t>N</w:t>
            </w:r>
            <w:r w:rsidRPr="007F5292">
              <w:rPr>
                <w:sz w:val="20"/>
                <w:szCs w:val="20"/>
              </w:rPr>
              <w:t>AK</w:t>
            </w:r>
          </w:p>
        </w:tc>
        <w:tc>
          <w:tcPr>
            <w:tcW w:w="1318" w:type="dxa"/>
            <w:tcBorders>
              <w:bottom w:val="nil"/>
            </w:tcBorders>
          </w:tcPr>
          <w:p w:rsidR="00795B89" w:rsidRPr="007F5292" w:rsidRDefault="00795B89" w:rsidP="006C6762">
            <w:pPr>
              <w:jc w:val="center"/>
              <w:rPr>
                <w:bCs/>
                <w:sz w:val="20"/>
                <w:szCs w:val="20"/>
              </w:rPr>
            </w:pPr>
            <w:r w:rsidRPr="007F5292">
              <w:rPr>
                <w:bCs/>
                <w:sz w:val="20"/>
                <w:szCs w:val="20"/>
              </w:rPr>
              <w:t>AK</w:t>
            </w:r>
          </w:p>
        </w:tc>
      </w:tr>
      <w:tr w:rsidR="00795B89" w:rsidRPr="007F5292" w:rsidTr="006C6762">
        <w:tc>
          <w:tcPr>
            <w:tcW w:w="1668" w:type="dxa"/>
            <w:vMerge/>
          </w:tcPr>
          <w:p w:rsidR="00795B89" w:rsidRPr="007F5292" w:rsidRDefault="00795B89" w:rsidP="006C6762">
            <w:pPr>
              <w:rPr>
                <w:b/>
                <w:bCs/>
                <w:sz w:val="20"/>
                <w:szCs w:val="20"/>
                <w:u w:val="single"/>
              </w:rPr>
            </w:pPr>
          </w:p>
        </w:tc>
        <w:tc>
          <w:tcPr>
            <w:tcW w:w="7980" w:type="dxa"/>
            <w:gridSpan w:val="5"/>
          </w:tcPr>
          <w:p w:rsidR="00795B89" w:rsidRPr="007F5292" w:rsidRDefault="00795B89" w:rsidP="006C6762">
            <w:pPr>
              <w:jc w:val="center"/>
              <w:rPr>
                <w:b/>
                <w:bCs/>
                <w:sz w:val="20"/>
                <w:szCs w:val="20"/>
              </w:rPr>
            </w:pPr>
            <w:r w:rsidRPr="007F5292">
              <w:rPr>
                <w:b/>
                <w:bCs/>
                <w:sz w:val="20"/>
                <w:szCs w:val="20"/>
              </w:rPr>
              <w:t xml:space="preserve">Az </w:t>
            </w:r>
            <w:r>
              <w:rPr>
                <w:b/>
                <w:bCs/>
                <w:sz w:val="20"/>
                <w:szCs w:val="20"/>
              </w:rPr>
              <w:t>épület</w:t>
            </w:r>
            <w:r w:rsidRPr="007F5292">
              <w:rPr>
                <w:b/>
                <w:bCs/>
                <w:sz w:val="20"/>
                <w:szCs w:val="20"/>
              </w:rPr>
              <w:t xml:space="preserve"> mértékadó kockázati osztálya: AK</w:t>
            </w:r>
          </w:p>
        </w:tc>
      </w:tr>
    </w:tbl>
    <w:p w:rsidR="00795B89" w:rsidRPr="007F5292" w:rsidRDefault="00795B89" w:rsidP="00795B89">
      <w:pPr>
        <w:rPr>
          <w:sz w:val="22"/>
          <w:szCs w:val="22"/>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épület mértékadó kockázati osztálya AK, maximális befogadóképessége nem haladja meg az 1.500 főt, így nincs szükség az OTSZ 12. § (4) bekezdés szerinti szigorításra.</w:t>
      </w:r>
    </w:p>
    <w:p w:rsidR="00795B89" w:rsidRPr="00795B89" w:rsidRDefault="00795B89" w:rsidP="00795B89">
      <w:pPr>
        <w:rPr>
          <w:rFonts w:ascii="Arial" w:hAnsi="Arial" w:cs="Arial"/>
          <w:b/>
          <w:bCs/>
          <w:u w:val="single"/>
        </w:rPr>
      </w:pPr>
    </w:p>
    <w:p w:rsidR="00795B89" w:rsidRPr="00795B89" w:rsidRDefault="00795B89" w:rsidP="00795B89">
      <w:pPr>
        <w:rPr>
          <w:rFonts w:ascii="Arial" w:hAnsi="Arial" w:cs="Arial"/>
          <w:i/>
          <w:iCs/>
        </w:rPr>
      </w:pPr>
      <w:r w:rsidRPr="00795B89">
        <w:rPr>
          <w:rFonts w:ascii="Arial" w:hAnsi="Arial" w:cs="Arial"/>
        </w:rPr>
        <w:t xml:space="preserve">*Az OTSZ 12. § (1) bekezdése alapján </w:t>
      </w:r>
      <w:r w:rsidRPr="00795B89">
        <w:rPr>
          <w:rFonts w:ascii="Arial" w:hAnsi="Arial" w:cs="Arial"/>
          <w:i/>
          <w:iCs/>
        </w:rPr>
        <w:t>„A kockázati egység kockázati osztályát... az 1. mellékletben foglalt 4. táblázatban nem szereplő ipari, mezőgazdasági rendeltetés esetén a (2) bekezdés alapján kell meghatározni.”</w:t>
      </w:r>
    </w:p>
    <w:p w:rsidR="00795B89" w:rsidRPr="00795B89" w:rsidRDefault="00795B89" w:rsidP="00795B89">
      <w:pPr>
        <w:rPr>
          <w:rFonts w:ascii="Arial" w:hAnsi="Arial" w:cs="Arial"/>
        </w:rPr>
      </w:pPr>
    </w:p>
    <w:p w:rsidR="00795B89" w:rsidRPr="00795B89" w:rsidRDefault="00795B89" w:rsidP="00795B89">
      <w:pPr>
        <w:rPr>
          <w:rFonts w:ascii="Arial" w:hAnsi="Arial" w:cs="Arial"/>
          <w:sz w:val="22"/>
          <w:szCs w:val="22"/>
        </w:rPr>
      </w:pPr>
      <w:r w:rsidRPr="00795B89">
        <w:rPr>
          <w:rFonts w:ascii="Arial" w:hAnsi="Arial" w:cs="Arial"/>
        </w:rPr>
        <w:t xml:space="preserve">A tervezett épület kockázati osztályát az OTSZ 10. § (3) bekezdésben felsorolt jellemzők és a tűzvédelmi helyzetet befolyásoló egyéb körülmények vizsgálatával, mérlegelésével, a hasonló rendeltetések 1. mellékletben foglalt 4. táblázat szerinti kockázati osztályának figyelembevételével határoztam meg. A fentiek alapján a kazánházak mértékadó kockázati osztálya a tűzveszélyességi jellemzőit és osztályát, olthatóságát, a teljesítményt és a technológiát figyelembe véve </w:t>
      </w:r>
      <w:r w:rsidRPr="00795B89">
        <w:rPr>
          <w:rFonts w:ascii="Arial" w:hAnsi="Arial" w:cs="Arial"/>
          <w:b/>
          <w:bCs/>
        </w:rPr>
        <w:t>AK</w:t>
      </w:r>
      <w:r w:rsidRPr="00795B89">
        <w:rPr>
          <w:rFonts w:ascii="Arial" w:hAnsi="Arial" w:cs="Arial"/>
        </w:rPr>
        <w:t>, alacsony kockázati osztály.</w:t>
      </w:r>
    </w:p>
    <w:p w:rsidR="00795B89" w:rsidRPr="00795B89" w:rsidRDefault="00795B89" w:rsidP="00795B89">
      <w:pPr>
        <w:rPr>
          <w:rFonts w:ascii="Arial" w:hAnsi="Arial" w:cs="Arial"/>
          <w:b/>
          <w:bCs/>
          <w:u w:val="single"/>
        </w:rPr>
      </w:pPr>
    </w:p>
    <w:p w:rsidR="00795B89" w:rsidRPr="00795B89" w:rsidRDefault="00795B89" w:rsidP="00795B89">
      <w:pPr>
        <w:rPr>
          <w:rFonts w:ascii="Arial" w:hAnsi="Arial" w:cs="Arial"/>
        </w:rPr>
      </w:pPr>
      <w:r w:rsidRPr="00795B89">
        <w:rPr>
          <w:rFonts w:ascii="Arial" w:hAnsi="Arial" w:cs="Arial"/>
        </w:rPr>
        <w:t>A kockázati egység tűzszakaszolása (alapterületi korlát miatt) nem szükséges.</w:t>
      </w:r>
    </w:p>
    <w:p w:rsidR="00795B89" w:rsidRPr="00795B89" w:rsidRDefault="00795B89" w:rsidP="00795B89">
      <w:pPr>
        <w:spacing w:after="20"/>
        <w:rPr>
          <w:rFonts w:ascii="Arial" w:hAnsi="Arial" w:cs="Arial"/>
          <w:sz w:val="22"/>
          <w:szCs w:val="22"/>
        </w:rPr>
      </w:pPr>
    </w:p>
    <w:p w:rsidR="00795B89" w:rsidRPr="00795B89" w:rsidRDefault="00795B89" w:rsidP="00795B89">
      <w:pPr>
        <w:rPr>
          <w:rFonts w:ascii="Arial" w:hAnsi="Arial" w:cs="Arial"/>
          <w:b/>
          <w:bCs/>
          <w:u w:val="single"/>
        </w:rPr>
      </w:pPr>
      <w:r w:rsidRPr="00795B89">
        <w:rPr>
          <w:rFonts w:ascii="Arial" w:hAnsi="Arial" w:cs="Arial"/>
          <w:b/>
          <w:bCs/>
          <w:u w:val="single"/>
        </w:rPr>
        <w:t>Alapterületi kimutatás:</w:t>
      </w:r>
    </w:p>
    <w:p w:rsidR="00795B89" w:rsidRDefault="00795B89" w:rsidP="00795B89">
      <w:pPr>
        <w:rPr>
          <w:b/>
          <w:bCs/>
          <w:u w:val="single"/>
        </w:rPr>
      </w:pPr>
    </w:p>
    <w:tbl>
      <w:tblPr>
        <w:tblW w:w="0" w:type="auto"/>
        <w:tblInd w:w="70" w:type="dxa"/>
        <w:tblLayout w:type="fixed"/>
        <w:tblCellMar>
          <w:left w:w="70" w:type="dxa"/>
          <w:right w:w="70" w:type="dxa"/>
        </w:tblCellMar>
        <w:tblLook w:val="0000"/>
      </w:tblPr>
      <w:tblGrid>
        <w:gridCol w:w="3402"/>
        <w:gridCol w:w="1560"/>
      </w:tblGrid>
      <w:tr w:rsidR="00795B89" w:rsidRPr="007309B0" w:rsidTr="006C6762">
        <w:tc>
          <w:tcPr>
            <w:tcW w:w="3402" w:type="dxa"/>
            <w:tcBorders>
              <w:top w:val="single" w:sz="4" w:space="0" w:color="000000"/>
              <w:left w:val="single" w:sz="4" w:space="0" w:color="000000"/>
              <w:bottom w:val="single" w:sz="4" w:space="0" w:color="000000"/>
              <w:right w:val="single" w:sz="4" w:space="0" w:color="auto"/>
            </w:tcBorders>
          </w:tcPr>
          <w:p w:rsidR="00795B89" w:rsidRPr="007309B0" w:rsidRDefault="00795B89" w:rsidP="006C6762">
            <w:pPr>
              <w:rPr>
                <w:b/>
                <w:bCs/>
                <w:i/>
                <w:iCs/>
                <w:sz w:val="21"/>
                <w:szCs w:val="21"/>
              </w:rPr>
            </w:pPr>
            <w:r>
              <w:rPr>
                <w:b/>
                <w:bCs/>
                <w:i/>
                <w:iCs/>
                <w:sz w:val="21"/>
                <w:szCs w:val="21"/>
              </w:rPr>
              <w:t>Helyiségek</w:t>
            </w:r>
            <w:r w:rsidRPr="007309B0">
              <w:rPr>
                <w:b/>
                <w:bCs/>
                <w:i/>
                <w:iCs/>
                <w:sz w:val="21"/>
                <w:szCs w:val="21"/>
              </w:rPr>
              <w:t xml:space="preserve"> megnevezése</w:t>
            </w:r>
          </w:p>
        </w:tc>
        <w:tc>
          <w:tcPr>
            <w:tcW w:w="1560" w:type="dxa"/>
            <w:tcBorders>
              <w:top w:val="single" w:sz="4" w:space="0" w:color="auto"/>
              <w:left w:val="single" w:sz="4" w:space="0" w:color="auto"/>
              <w:bottom w:val="single" w:sz="4" w:space="0" w:color="000000"/>
              <w:right w:val="single" w:sz="4" w:space="0" w:color="auto"/>
            </w:tcBorders>
          </w:tcPr>
          <w:p w:rsidR="00795B89" w:rsidRPr="007309B0" w:rsidRDefault="00795B89" w:rsidP="006C6762">
            <w:pPr>
              <w:rPr>
                <w:b/>
                <w:bCs/>
                <w:i/>
                <w:iCs/>
                <w:sz w:val="21"/>
                <w:szCs w:val="21"/>
              </w:rPr>
            </w:pPr>
            <w:r w:rsidRPr="007309B0">
              <w:rPr>
                <w:b/>
                <w:bCs/>
                <w:i/>
                <w:iCs/>
                <w:sz w:val="21"/>
                <w:szCs w:val="21"/>
              </w:rPr>
              <w:t>alapterület (m</w:t>
            </w:r>
            <w:r w:rsidRPr="007309B0">
              <w:rPr>
                <w:b/>
                <w:bCs/>
                <w:i/>
                <w:iCs/>
                <w:sz w:val="21"/>
                <w:szCs w:val="21"/>
                <w:vertAlign w:val="superscript"/>
              </w:rPr>
              <w:t>2</w:t>
            </w:r>
            <w:r w:rsidRPr="007309B0">
              <w:rPr>
                <w:b/>
                <w:bCs/>
                <w:i/>
                <w:iCs/>
                <w:sz w:val="21"/>
                <w:szCs w:val="21"/>
              </w:rPr>
              <w:t>)</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b/>
                <w:sz w:val="20"/>
                <w:szCs w:val="20"/>
              </w:rPr>
            </w:pPr>
            <w:r>
              <w:rPr>
                <w:b/>
                <w:sz w:val="20"/>
                <w:szCs w:val="20"/>
              </w:rPr>
              <w:t>F</w:t>
            </w:r>
            <w:r w:rsidRPr="00D807CA">
              <w:rPr>
                <w:b/>
                <w:sz w:val="20"/>
                <w:szCs w:val="20"/>
              </w:rPr>
              <w:t>öldszint</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jc w:val="right"/>
              <w:rPr>
                <w:b/>
                <w:bCs/>
                <w:sz w:val="20"/>
                <w:szCs w:val="20"/>
              </w:rPr>
            </w:pP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Kazántér</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
                <w:bCs/>
                <w:sz w:val="20"/>
                <w:szCs w:val="20"/>
              </w:rPr>
            </w:pPr>
            <w:r w:rsidRPr="00D807CA">
              <w:rPr>
                <w:sz w:val="20"/>
                <w:szCs w:val="20"/>
              </w:rPr>
              <w:t>344,80</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Vízlágyító</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
                <w:bCs/>
                <w:sz w:val="20"/>
                <w:szCs w:val="20"/>
              </w:rPr>
            </w:pPr>
            <w:r w:rsidRPr="00D807CA">
              <w:rPr>
                <w:sz w:val="20"/>
                <w:szCs w:val="20"/>
              </w:rPr>
              <w:t>36,58</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Elektromos helyiség</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
                <w:bCs/>
                <w:sz w:val="20"/>
                <w:szCs w:val="20"/>
              </w:rPr>
            </w:pPr>
            <w:r w:rsidRPr="00D807CA">
              <w:rPr>
                <w:sz w:val="20"/>
                <w:szCs w:val="20"/>
              </w:rPr>
              <w:t>7,56</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Bejárat, közlekedő</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
                <w:bCs/>
                <w:sz w:val="20"/>
                <w:szCs w:val="20"/>
              </w:rPr>
            </w:pPr>
            <w:r w:rsidRPr="00D807CA">
              <w:rPr>
                <w:sz w:val="20"/>
                <w:szCs w:val="20"/>
              </w:rPr>
              <w:t>13,80</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Gázszabályozó</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
                <w:bCs/>
                <w:sz w:val="20"/>
                <w:szCs w:val="20"/>
              </w:rPr>
            </w:pPr>
            <w:r w:rsidRPr="00D807CA">
              <w:rPr>
                <w:sz w:val="20"/>
                <w:szCs w:val="20"/>
              </w:rPr>
              <w:t>22,70</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b/>
                <w:sz w:val="20"/>
                <w:szCs w:val="20"/>
              </w:rPr>
            </w:pPr>
            <w:r w:rsidRPr="00D807CA">
              <w:rPr>
                <w:b/>
                <w:sz w:val="20"/>
                <w:szCs w:val="20"/>
              </w:rPr>
              <w:t>Emelet</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
                <w:bCs/>
                <w:sz w:val="20"/>
                <w:szCs w:val="20"/>
              </w:rPr>
            </w:pP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iroda</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Cs/>
                <w:sz w:val="20"/>
                <w:szCs w:val="20"/>
              </w:rPr>
            </w:pPr>
            <w:r w:rsidRPr="00D807CA">
              <w:rPr>
                <w:bCs/>
                <w:sz w:val="20"/>
                <w:szCs w:val="20"/>
              </w:rPr>
              <w:t>24,74</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közlekedő</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Cs/>
                <w:sz w:val="20"/>
                <w:szCs w:val="20"/>
              </w:rPr>
            </w:pPr>
            <w:r w:rsidRPr="00D807CA">
              <w:rPr>
                <w:bCs/>
                <w:sz w:val="20"/>
                <w:szCs w:val="20"/>
              </w:rPr>
              <w:t>19,79</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iroda</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Cs/>
                <w:sz w:val="20"/>
                <w:szCs w:val="20"/>
              </w:rPr>
            </w:pPr>
            <w:r w:rsidRPr="00D807CA">
              <w:rPr>
                <w:bCs/>
                <w:sz w:val="20"/>
                <w:szCs w:val="20"/>
              </w:rPr>
              <w:t>8,28</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raktár</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Cs/>
                <w:sz w:val="20"/>
                <w:szCs w:val="20"/>
              </w:rPr>
            </w:pPr>
            <w:r w:rsidRPr="00D807CA">
              <w:rPr>
                <w:bCs/>
                <w:sz w:val="20"/>
                <w:szCs w:val="20"/>
              </w:rPr>
              <w:t>7,51</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zuhanyzó</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Cs/>
                <w:sz w:val="20"/>
                <w:szCs w:val="20"/>
              </w:rPr>
            </w:pPr>
            <w:r w:rsidRPr="00D807CA">
              <w:rPr>
                <w:bCs/>
                <w:sz w:val="20"/>
                <w:szCs w:val="20"/>
              </w:rPr>
              <w:t>6,71</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öltöző</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Cs/>
                <w:sz w:val="20"/>
                <w:szCs w:val="20"/>
              </w:rPr>
            </w:pPr>
            <w:r w:rsidRPr="00D807CA">
              <w:rPr>
                <w:bCs/>
                <w:sz w:val="20"/>
                <w:szCs w:val="20"/>
              </w:rPr>
              <w:t>11,46</w:t>
            </w:r>
          </w:p>
        </w:tc>
      </w:tr>
      <w:tr w:rsidR="00795B89" w:rsidRPr="00D807CA" w:rsidTr="006C6762">
        <w:tc>
          <w:tcPr>
            <w:tcW w:w="3402" w:type="dxa"/>
            <w:tcBorders>
              <w:top w:val="single" w:sz="4" w:space="0" w:color="000000"/>
              <w:left w:val="single" w:sz="4" w:space="0" w:color="000000"/>
              <w:bottom w:val="single" w:sz="4" w:space="0" w:color="000000"/>
              <w:right w:val="single" w:sz="4" w:space="0" w:color="auto"/>
            </w:tcBorders>
          </w:tcPr>
          <w:p w:rsidR="00795B89" w:rsidRPr="00D807CA" w:rsidRDefault="00795B89" w:rsidP="006C6762">
            <w:pPr>
              <w:rPr>
                <w:sz w:val="20"/>
                <w:szCs w:val="20"/>
              </w:rPr>
            </w:pPr>
            <w:r w:rsidRPr="00D807CA">
              <w:rPr>
                <w:sz w:val="20"/>
                <w:szCs w:val="20"/>
              </w:rPr>
              <w:t>wc</w:t>
            </w:r>
          </w:p>
        </w:tc>
        <w:tc>
          <w:tcPr>
            <w:tcW w:w="1560" w:type="dxa"/>
            <w:tcBorders>
              <w:top w:val="single" w:sz="4" w:space="0" w:color="000000"/>
              <w:left w:val="single" w:sz="4" w:space="0" w:color="auto"/>
              <w:bottom w:val="single" w:sz="4" w:space="0" w:color="000000"/>
              <w:right w:val="single" w:sz="4" w:space="0" w:color="auto"/>
            </w:tcBorders>
          </w:tcPr>
          <w:p w:rsidR="00795B89" w:rsidRPr="00D807CA" w:rsidRDefault="00795B89" w:rsidP="006C6762">
            <w:pPr>
              <w:rPr>
                <w:bCs/>
                <w:sz w:val="20"/>
                <w:szCs w:val="20"/>
              </w:rPr>
            </w:pPr>
            <w:r w:rsidRPr="00D807CA">
              <w:rPr>
                <w:bCs/>
                <w:sz w:val="20"/>
                <w:szCs w:val="20"/>
              </w:rPr>
              <w:t>1,4</w:t>
            </w:r>
          </w:p>
        </w:tc>
      </w:tr>
      <w:tr w:rsidR="00795B89" w:rsidRPr="00A5515B" w:rsidTr="006C6762">
        <w:tc>
          <w:tcPr>
            <w:tcW w:w="3402" w:type="dxa"/>
            <w:tcBorders>
              <w:top w:val="single" w:sz="4" w:space="0" w:color="000000"/>
              <w:left w:val="single" w:sz="4" w:space="0" w:color="000000"/>
              <w:bottom w:val="single" w:sz="4" w:space="0" w:color="000000"/>
              <w:right w:val="single" w:sz="4" w:space="0" w:color="auto"/>
            </w:tcBorders>
          </w:tcPr>
          <w:p w:rsidR="00795B89" w:rsidRPr="00A5515B" w:rsidRDefault="00795B89" w:rsidP="006C6762">
            <w:pPr>
              <w:rPr>
                <w:b/>
                <w:bCs/>
                <w:sz w:val="21"/>
                <w:szCs w:val="21"/>
              </w:rPr>
            </w:pPr>
            <w:r w:rsidRPr="00A5515B">
              <w:rPr>
                <w:b/>
                <w:bCs/>
                <w:sz w:val="21"/>
                <w:szCs w:val="21"/>
              </w:rPr>
              <w:t xml:space="preserve">összesen: </w:t>
            </w:r>
            <w:r>
              <w:rPr>
                <w:b/>
                <w:bCs/>
                <w:sz w:val="21"/>
                <w:szCs w:val="21"/>
              </w:rPr>
              <w:t xml:space="preserve">505,33 </w:t>
            </w:r>
            <w:r w:rsidRPr="00A5515B">
              <w:rPr>
                <w:b/>
                <w:bCs/>
                <w:sz w:val="21"/>
                <w:szCs w:val="21"/>
              </w:rPr>
              <w:t>m</w:t>
            </w:r>
            <w:r w:rsidRPr="00A5515B">
              <w:rPr>
                <w:b/>
                <w:bCs/>
                <w:sz w:val="21"/>
                <w:szCs w:val="21"/>
                <w:vertAlign w:val="superscript"/>
              </w:rPr>
              <w:t>2</w:t>
            </w:r>
          </w:p>
        </w:tc>
        <w:tc>
          <w:tcPr>
            <w:tcW w:w="1560" w:type="dxa"/>
            <w:tcBorders>
              <w:top w:val="single" w:sz="4" w:space="0" w:color="000000"/>
              <w:left w:val="single" w:sz="4" w:space="0" w:color="auto"/>
              <w:bottom w:val="single" w:sz="4" w:space="0" w:color="auto"/>
              <w:right w:val="single" w:sz="4" w:space="0" w:color="auto"/>
            </w:tcBorders>
          </w:tcPr>
          <w:p w:rsidR="00795B89" w:rsidRPr="00A5515B" w:rsidRDefault="00795B89" w:rsidP="006C6762">
            <w:pPr>
              <w:rPr>
                <w:b/>
                <w:bCs/>
                <w:sz w:val="21"/>
                <w:szCs w:val="21"/>
              </w:rPr>
            </w:pPr>
          </w:p>
        </w:tc>
      </w:tr>
    </w:tbl>
    <w:p w:rsidR="00795B89" w:rsidRDefault="00795B89" w:rsidP="00795B89"/>
    <w:p w:rsidR="00795B89" w:rsidRPr="00795B89" w:rsidRDefault="00795B89" w:rsidP="00795B89">
      <w:pPr>
        <w:rPr>
          <w:rFonts w:ascii="Arial" w:hAnsi="Arial" w:cs="Arial"/>
        </w:rPr>
      </w:pPr>
      <w:r w:rsidRPr="00795B89">
        <w:rPr>
          <w:rFonts w:ascii="Arial" w:hAnsi="Arial" w:cs="Arial"/>
          <w:b/>
          <w:bCs/>
          <w:u w:val="single"/>
        </w:rPr>
        <w:t>Az alkalmazott épületszerkezetekkel kapcsolatos általános tűzvédelmi követelmények:</w:t>
      </w:r>
    </w:p>
    <w:p w:rsidR="00795B89" w:rsidRPr="00795B89" w:rsidRDefault="00795B89" w:rsidP="00795B89">
      <w:pPr>
        <w:rPr>
          <w:rFonts w:ascii="Arial" w:hAnsi="Arial" w:cs="Arial"/>
        </w:rPr>
      </w:pPr>
    </w:p>
    <w:p w:rsidR="00795B89" w:rsidRPr="00795B89" w:rsidRDefault="00795B89" w:rsidP="00795B89">
      <w:pPr>
        <w:pStyle w:val="Alcm"/>
        <w:jc w:val="left"/>
        <w:rPr>
          <w:rFonts w:ascii="Arial" w:hAnsi="Arial" w:cs="Arial"/>
          <w:b w:val="0"/>
          <w:bCs w:val="0"/>
        </w:rPr>
      </w:pPr>
      <w:r w:rsidRPr="00795B89">
        <w:rPr>
          <w:rFonts w:ascii="Arial" w:hAnsi="Arial" w:cs="Arial"/>
          <w:b w:val="0"/>
          <w:bCs w:val="0"/>
        </w:rPr>
        <w:t>Az épületek, speciális építmények tartószerkezeteit úgy kell megtervezni, kivitelezni, hogy tűz esetén az e rendeletben előírt időtartamig:</w:t>
      </w:r>
    </w:p>
    <w:p w:rsidR="00795B89" w:rsidRPr="00795B89" w:rsidRDefault="00795B89" w:rsidP="00795B89">
      <w:pPr>
        <w:pStyle w:val="Alcm"/>
        <w:jc w:val="left"/>
        <w:rPr>
          <w:rFonts w:ascii="Arial" w:hAnsi="Arial" w:cs="Arial"/>
          <w:b w:val="0"/>
          <w:bCs w:val="0"/>
        </w:rPr>
      </w:pPr>
      <w:r w:rsidRPr="00795B89">
        <w:rPr>
          <w:rFonts w:ascii="Arial" w:hAnsi="Arial" w:cs="Arial"/>
          <w:b w:val="0"/>
          <w:bCs w:val="0"/>
        </w:rPr>
        <w:t>a) azok teherhordó képessége megmaradjon,</w:t>
      </w:r>
    </w:p>
    <w:p w:rsidR="00795B89" w:rsidRPr="00795B89" w:rsidRDefault="00795B89" w:rsidP="00795B89">
      <w:pPr>
        <w:pStyle w:val="Alcm"/>
        <w:jc w:val="left"/>
        <w:rPr>
          <w:rFonts w:ascii="Arial" w:hAnsi="Arial" w:cs="Arial"/>
          <w:b w:val="0"/>
          <w:bCs w:val="0"/>
        </w:rPr>
      </w:pPr>
      <w:r w:rsidRPr="00795B89">
        <w:rPr>
          <w:rFonts w:ascii="Arial" w:hAnsi="Arial" w:cs="Arial"/>
          <w:b w:val="0"/>
          <w:bCs w:val="0"/>
        </w:rPr>
        <w:t>b) szerkezeti állékonyságával biztosítsa a védelmi szerkezetek rendeltetésének ellátását és</w:t>
      </w:r>
    </w:p>
    <w:p w:rsidR="00795B89" w:rsidRPr="00795B89" w:rsidRDefault="00795B89" w:rsidP="00795B89">
      <w:pPr>
        <w:pStyle w:val="Alcm"/>
        <w:jc w:val="left"/>
        <w:rPr>
          <w:rFonts w:ascii="Arial" w:hAnsi="Arial" w:cs="Arial"/>
          <w:b w:val="0"/>
          <w:bCs w:val="0"/>
        </w:rPr>
      </w:pPr>
      <w:r w:rsidRPr="00795B89">
        <w:rPr>
          <w:rFonts w:ascii="Arial" w:hAnsi="Arial" w:cs="Arial"/>
          <w:b w:val="0"/>
          <w:bCs w:val="0"/>
        </w:rPr>
        <w:t>c) a tűzszakasz vagy önálló épületrész a tűz és kísérő jelenségei elleni védelmi képességét be tudja tölteni.</w:t>
      </w:r>
    </w:p>
    <w:p w:rsidR="00795B89" w:rsidRPr="00795B89" w:rsidRDefault="00795B89" w:rsidP="00795B89">
      <w:pPr>
        <w:pStyle w:val="Alcm"/>
        <w:jc w:val="left"/>
        <w:rPr>
          <w:rFonts w:ascii="Arial" w:hAnsi="Arial" w:cs="Arial"/>
          <w:b w:val="0"/>
          <w:bCs w:val="0"/>
        </w:rPr>
      </w:pPr>
    </w:p>
    <w:p w:rsidR="00795B89" w:rsidRDefault="00795B89" w:rsidP="00795B89">
      <w:pPr>
        <w:pStyle w:val="Alcm"/>
        <w:jc w:val="both"/>
        <w:rPr>
          <w:rFonts w:ascii="Arial" w:hAnsi="Arial" w:cs="Arial"/>
          <w:b w:val="0"/>
          <w:bCs w:val="0"/>
        </w:rPr>
      </w:pPr>
    </w:p>
    <w:p w:rsidR="00795B89" w:rsidRDefault="00795B89" w:rsidP="00795B89">
      <w:pPr>
        <w:pStyle w:val="Alcm"/>
        <w:jc w:val="both"/>
        <w:rPr>
          <w:rFonts w:ascii="Arial" w:hAnsi="Arial" w:cs="Arial"/>
          <w:b w:val="0"/>
          <w:bCs w:val="0"/>
        </w:rPr>
      </w:pPr>
    </w:p>
    <w:p w:rsidR="00795B89" w:rsidRDefault="00795B89" w:rsidP="00795B89">
      <w:pPr>
        <w:pStyle w:val="Alcm"/>
        <w:jc w:val="both"/>
        <w:rPr>
          <w:rFonts w:ascii="Arial" w:hAnsi="Arial" w:cs="Arial"/>
          <w:b w:val="0"/>
          <w:bCs w:val="0"/>
        </w:rPr>
      </w:pPr>
    </w:p>
    <w:p w:rsidR="00795B89" w:rsidRPr="00795B89" w:rsidRDefault="00795B89" w:rsidP="00795B89">
      <w:pPr>
        <w:pStyle w:val="Alcm"/>
        <w:jc w:val="both"/>
        <w:rPr>
          <w:rFonts w:ascii="Arial" w:hAnsi="Arial" w:cs="Arial"/>
          <w:b w:val="0"/>
          <w:bCs w:val="0"/>
        </w:rPr>
      </w:pPr>
      <w:r w:rsidRPr="00795B89">
        <w:rPr>
          <w:rFonts w:ascii="Arial" w:hAnsi="Arial" w:cs="Arial"/>
          <w:b w:val="0"/>
          <w:bCs w:val="0"/>
        </w:rPr>
        <w:lastRenderedPageBreak/>
        <w:t>Az egyes építményszerkezetekre vonatkozó követelményeket az építményszerkezetek építményen belül betöltött statikai szerepének, a teherátadás rendjének figyelembevételével kell meghatározni. Egy építményszerkezet alátámasztására, gyámolítására, függesztésére, merevítésére nem alkalmazható az adott szerkezet tűzállósági követelményénél kisebb tűzállóságú szerkezet.</w:t>
      </w:r>
    </w:p>
    <w:p w:rsidR="00795B89" w:rsidRPr="00795B89" w:rsidRDefault="00795B89" w:rsidP="00795B89">
      <w:pPr>
        <w:pStyle w:val="Alcm"/>
        <w:jc w:val="left"/>
        <w:rPr>
          <w:rFonts w:ascii="Arial" w:hAnsi="Arial" w:cs="Arial"/>
          <w:b w:val="0"/>
          <w:bCs w:val="0"/>
        </w:rPr>
      </w:pPr>
    </w:p>
    <w:p w:rsidR="00795B89" w:rsidRPr="00795B89" w:rsidRDefault="00795B89" w:rsidP="00795B89">
      <w:pPr>
        <w:rPr>
          <w:rFonts w:ascii="Arial" w:hAnsi="Arial" w:cs="Arial"/>
          <w:b/>
          <w:bCs/>
          <w:u w:val="single"/>
        </w:rPr>
      </w:pPr>
      <w:r w:rsidRPr="00795B89">
        <w:rPr>
          <w:rFonts w:ascii="Arial" w:hAnsi="Arial" w:cs="Arial"/>
          <w:b/>
          <w:bCs/>
          <w:u w:val="single"/>
        </w:rPr>
        <w:t>A beépítésre tervezett építési termékek, épületszerkezetek a következők:</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meglévő épület létesítésének idejében, illetve a jelen átalakításkor hatályos tűzvédelmi jogszabályok több téren alapvetően különböznek. A jelenleg hatályos előírásokat az átalakítás során csak az átalakítás körében és mértékében vizsgáltuk, tartottuk be.</w:t>
      </w:r>
    </w:p>
    <w:p w:rsidR="00795B89" w:rsidRPr="00795B89" w:rsidRDefault="00795B89" w:rsidP="00795B89">
      <w:pPr>
        <w:rPr>
          <w:rFonts w:ascii="Arial" w:hAnsi="Arial" w:cs="Arial"/>
        </w:rPr>
      </w:pPr>
    </w:p>
    <w:p w:rsidR="00795B89" w:rsidRPr="00795B89" w:rsidRDefault="00795B89" w:rsidP="00795B89">
      <w:pPr>
        <w:rPr>
          <w:rFonts w:ascii="Arial" w:hAnsi="Arial" w:cs="Arial"/>
          <w:iCs/>
        </w:rPr>
      </w:pPr>
      <w:r w:rsidRPr="00795B89">
        <w:rPr>
          <w:rFonts w:ascii="Arial" w:hAnsi="Arial" w:cs="Arial"/>
        </w:rPr>
        <w:t xml:space="preserve">Az OTSZ 33. § (7) bekezdése alapján </w:t>
      </w:r>
      <w:r w:rsidRPr="00795B89">
        <w:rPr>
          <w:rFonts w:ascii="Arial" w:hAnsi="Arial" w:cs="Arial"/>
          <w:iCs/>
        </w:rPr>
        <w:t xml:space="preserve">„Az adott épület mértékadó kockázati besorolásának megfelelő tűzgátló építményszerkezetekkel kell határolni a 140 kW összteljesítmény feletti kazánhelyiséget,…” </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gáz csatlakozóvezetékekre, a felhasználói berendezésekre, a telephelyi vezetékekre vonatkozó</w:t>
      </w:r>
      <w:r w:rsidRPr="00795B89">
        <w:rPr>
          <w:rFonts w:ascii="Arial" w:hAnsi="Arial" w:cs="Arial"/>
        </w:rPr>
        <w:br/>
        <w:t>műszaki biztonsági előírásokról és az ezekkel összefüggő hatósági feladatokról szóló 11/2013. (III. 21.) NGM rendelet 2. melléklete (Műszaki Biztonsági Szabályzat) (továbbiakban: GMBSZ) alapján a gázfogyasztó készülék helyiségét a hozzá technológiailag nem kapcsolódó terektől tűzgátló</w:t>
      </w:r>
      <w:r w:rsidRPr="00795B89">
        <w:rPr>
          <w:rFonts w:ascii="Arial" w:hAnsi="Arial" w:cs="Arial"/>
        </w:rPr>
        <w:br/>
        <w:t>szerkezetekkel kell határolni.</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fentiek alapján a kazántér és a kétszintes épületrész közötti fal tűzgátló szerkezetekkel (tűzgátló fal, tűzgátló ajtó) kerül elhatárolásra egymástól.</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beépítésre tervezett főbb épületszerkezetekkel kapcsolatos követelmények.</w:t>
      </w:r>
    </w:p>
    <w:p w:rsidR="00795B89" w:rsidRDefault="00795B89" w:rsidP="00795B89"/>
    <w:tbl>
      <w:tblPr>
        <w:tblW w:w="0" w:type="auto"/>
        <w:tblInd w:w="55" w:type="dxa"/>
        <w:tblLayout w:type="fixed"/>
        <w:tblCellMar>
          <w:left w:w="70" w:type="dxa"/>
          <w:right w:w="70" w:type="dxa"/>
        </w:tblCellMar>
        <w:tblLook w:val="00A0"/>
      </w:tblPr>
      <w:tblGrid>
        <w:gridCol w:w="1899"/>
        <w:gridCol w:w="1458"/>
        <w:gridCol w:w="1978"/>
        <w:gridCol w:w="2529"/>
        <w:gridCol w:w="1811"/>
      </w:tblGrid>
      <w:tr w:rsidR="00795B89" w:rsidRPr="00941DAB" w:rsidTr="006C6762">
        <w:trPr>
          <w:trHeight w:val="195"/>
        </w:trPr>
        <w:tc>
          <w:tcPr>
            <w:tcW w:w="5335" w:type="dxa"/>
            <w:gridSpan w:val="3"/>
            <w:tcBorders>
              <w:top w:val="single" w:sz="12" w:space="0" w:color="auto"/>
              <w:left w:val="single" w:sz="12" w:space="0" w:color="auto"/>
              <w:bottom w:val="single" w:sz="4" w:space="0" w:color="auto"/>
              <w:right w:val="single" w:sz="4" w:space="0" w:color="auto"/>
            </w:tcBorders>
            <w:vAlign w:val="center"/>
          </w:tcPr>
          <w:p w:rsidR="00795B89" w:rsidRPr="00941DAB" w:rsidRDefault="00795B89" w:rsidP="006C6762">
            <w:pPr>
              <w:jc w:val="center"/>
              <w:rPr>
                <w:color w:val="000000"/>
                <w:sz w:val="18"/>
                <w:szCs w:val="18"/>
              </w:rPr>
            </w:pPr>
            <w:r w:rsidRPr="00941DAB">
              <w:rPr>
                <w:color w:val="000000"/>
                <w:sz w:val="18"/>
                <w:szCs w:val="18"/>
              </w:rPr>
              <w:t>Mértékadó kockázati osztály</w:t>
            </w:r>
          </w:p>
        </w:tc>
        <w:tc>
          <w:tcPr>
            <w:tcW w:w="4340" w:type="dxa"/>
            <w:gridSpan w:val="2"/>
            <w:tcBorders>
              <w:top w:val="single" w:sz="12" w:space="0" w:color="auto"/>
              <w:left w:val="nil"/>
              <w:bottom w:val="single" w:sz="4" w:space="0" w:color="auto"/>
              <w:right w:val="single" w:sz="4" w:space="0" w:color="auto"/>
            </w:tcBorders>
            <w:vAlign w:val="center"/>
          </w:tcPr>
          <w:p w:rsidR="00795B89" w:rsidRPr="00941DAB" w:rsidRDefault="00795B89" w:rsidP="006C6762">
            <w:pPr>
              <w:jc w:val="center"/>
              <w:rPr>
                <w:color w:val="000000"/>
                <w:sz w:val="18"/>
                <w:szCs w:val="18"/>
              </w:rPr>
            </w:pPr>
            <w:r>
              <w:rPr>
                <w:color w:val="000000"/>
                <w:sz w:val="18"/>
                <w:szCs w:val="18"/>
              </w:rPr>
              <w:t>A</w:t>
            </w:r>
            <w:r w:rsidRPr="00941DAB">
              <w:rPr>
                <w:color w:val="000000"/>
                <w:sz w:val="18"/>
                <w:szCs w:val="18"/>
              </w:rPr>
              <w:t>K</w:t>
            </w:r>
          </w:p>
        </w:tc>
      </w:tr>
      <w:tr w:rsidR="00795B89" w:rsidRPr="00A46DCD" w:rsidTr="006C6762">
        <w:trPr>
          <w:trHeight w:val="261"/>
        </w:trPr>
        <w:tc>
          <w:tcPr>
            <w:tcW w:w="5335" w:type="dxa"/>
            <w:gridSpan w:val="3"/>
            <w:tcBorders>
              <w:top w:val="single" w:sz="4" w:space="0" w:color="auto"/>
              <w:left w:val="single" w:sz="12" w:space="0" w:color="auto"/>
              <w:bottom w:val="double" w:sz="6" w:space="0" w:color="auto"/>
              <w:right w:val="single" w:sz="4" w:space="0" w:color="auto"/>
            </w:tcBorders>
            <w:vAlign w:val="center"/>
          </w:tcPr>
          <w:p w:rsidR="00795B89" w:rsidRPr="00941DAB" w:rsidRDefault="00795B89" w:rsidP="006C6762">
            <w:pPr>
              <w:jc w:val="center"/>
              <w:rPr>
                <w:color w:val="000000"/>
                <w:sz w:val="18"/>
                <w:szCs w:val="18"/>
              </w:rPr>
            </w:pPr>
            <w:r w:rsidRPr="00941DAB">
              <w:rPr>
                <w:color w:val="000000"/>
                <w:sz w:val="18"/>
                <w:szCs w:val="18"/>
              </w:rPr>
              <w:t>Építményszerkezet</w:t>
            </w:r>
          </w:p>
        </w:tc>
        <w:tc>
          <w:tcPr>
            <w:tcW w:w="4340" w:type="dxa"/>
            <w:gridSpan w:val="2"/>
            <w:tcBorders>
              <w:top w:val="nil"/>
              <w:left w:val="nil"/>
              <w:bottom w:val="double" w:sz="6" w:space="0" w:color="auto"/>
              <w:right w:val="single" w:sz="4" w:space="0" w:color="auto"/>
            </w:tcBorders>
            <w:vAlign w:val="center"/>
          </w:tcPr>
          <w:p w:rsidR="00795B89" w:rsidRPr="00A46DCD" w:rsidRDefault="00795B89" w:rsidP="006C6762">
            <w:pPr>
              <w:jc w:val="center"/>
              <w:rPr>
                <w:color w:val="000000"/>
                <w:sz w:val="18"/>
                <w:szCs w:val="18"/>
              </w:rPr>
            </w:pPr>
            <w:r w:rsidRPr="00941DAB">
              <w:rPr>
                <w:color w:val="000000"/>
                <w:sz w:val="18"/>
                <w:szCs w:val="18"/>
              </w:rPr>
              <w:t>földszint</w:t>
            </w:r>
            <w:r>
              <w:rPr>
                <w:color w:val="000000"/>
                <w:sz w:val="18"/>
                <w:szCs w:val="18"/>
              </w:rPr>
              <w:t xml:space="preserve"> + emelet</w:t>
            </w:r>
          </w:p>
        </w:tc>
      </w:tr>
      <w:tr w:rsidR="00795B89" w:rsidRPr="00A46DCD" w:rsidTr="006C6762">
        <w:trPr>
          <w:trHeight w:val="232"/>
        </w:trPr>
        <w:tc>
          <w:tcPr>
            <w:tcW w:w="5335" w:type="dxa"/>
            <w:gridSpan w:val="3"/>
            <w:tcBorders>
              <w:top w:val="single" w:sz="4" w:space="0" w:color="auto"/>
              <w:left w:val="single" w:sz="12" w:space="0" w:color="auto"/>
              <w:bottom w:val="double" w:sz="6" w:space="0" w:color="auto"/>
              <w:right w:val="single" w:sz="4" w:space="0" w:color="auto"/>
            </w:tcBorders>
            <w:vAlign w:val="center"/>
          </w:tcPr>
          <w:p w:rsidR="00795B89" w:rsidRPr="00A46DCD" w:rsidRDefault="00795B89" w:rsidP="006C6762">
            <w:pPr>
              <w:jc w:val="center"/>
              <w:rPr>
                <w:color w:val="000000"/>
                <w:sz w:val="18"/>
                <w:szCs w:val="18"/>
              </w:rPr>
            </w:pPr>
          </w:p>
        </w:tc>
        <w:tc>
          <w:tcPr>
            <w:tcW w:w="2529" w:type="dxa"/>
            <w:tcBorders>
              <w:top w:val="nil"/>
              <w:left w:val="nil"/>
              <w:bottom w:val="double" w:sz="6" w:space="0" w:color="auto"/>
              <w:right w:val="single" w:sz="4" w:space="0" w:color="auto"/>
            </w:tcBorders>
            <w:vAlign w:val="center"/>
          </w:tcPr>
          <w:p w:rsidR="00795B89" w:rsidRPr="00A46DCD" w:rsidRDefault="00795B89" w:rsidP="006C6762">
            <w:pPr>
              <w:jc w:val="center"/>
              <w:rPr>
                <w:color w:val="000000"/>
                <w:sz w:val="18"/>
                <w:szCs w:val="18"/>
              </w:rPr>
            </w:pPr>
            <w:r>
              <w:rPr>
                <w:color w:val="000000"/>
                <w:sz w:val="18"/>
                <w:szCs w:val="18"/>
              </w:rPr>
              <w:t>követelmény</w:t>
            </w:r>
          </w:p>
        </w:tc>
        <w:tc>
          <w:tcPr>
            <w:tcW w:w="1811" w:type="dxa"/>
            <w:tcBorders>
              <w:top w:val="nil"/>
              <w:left w:val="nil"/>
              <w:bottom w:val="double" w:sz="6" w:space="0" w:color="auto"/>
              <w:right w:val="single" w:sz="4" w:space="0" w:color="auto"/>
            </w:tcBorders>
            <w:vAlign w:val="center"/>
          </w:tcPr>
          <w:p w:rsidR="00795B89" w:rsidRPr="00A46DCD" w:rsidRDefault="00795B89" w:rsidP="006C6762">
            <w:pPr>
              <w:jc w:val="center"/>
              <w:rPr>
                <w:color w:val="000000"/>
                <w:sz w:val="18"/>
                <w:szCs w:val="18"/>
              </w:rPr>
            </w:pPr>
            <w:r>
              <w:rPr>
                <w:color w:val="000000"/>
                <w:sz w:val="18"/>
                <w:szCs w:val="18"/>
              </w:rPr>
              <w:t>tervezett</w:t>
            </w:r>
          </w:p>
        </w:tc>
      </w:tr>
      <w:tr w:rsidR="00795B89" w:rsidRPr="00A46DCD" w:rsidTr="006C6762">
        <w:trPr>
          <w:trHeight w:val="524"/>
        </w:trPr>
        <w:tc>
          <w:tcPr>
            <w:tcW w:w="1899" w:type="dxa"/>
            <w:vMerge w:val="restart"/>
            <w:tcBorders>
              <w:top w:val="nil"/>
              <w:left w:val="single" w:sz="12" w:space="0" w:color="auto"/>
              <w:bottom w:val="single" w:sz="4" w:space="0" w:color="auto"/>
              <w:right w:val="single" w:sz="4" w:space="0" w:color="auto"/>
            </w:tcBorders>
            <w:vAlign w:val="center"/>
          </w:tcPr>
          <w:p w:rsidR="00795B89" w:rsidRPr="00A46DCD" w:rsidRDefault="00795B89" w:rsidP="006C6762">
            <w:pPr>
              <w:jc w:val="center"/>
              <w:rPr>
                <w:color w:val="000000"/>
                <w:sz w:val="18"/>
                <w:szCs w:val="18"/>
              </w:rPr>
            </w:pPr>
            <w:r w:rsidRPr="00A46DCD">
              <w:rPr>
                <w:color w:val="000000"/>
                <w:sz w:val="18"/>
                <w:szCs w:val="18"/>
              </w:rPr>
              <w:t xml:space="preserve"> Teherhordó építményszerkezetek</w:t>
            </w:r>
          </w:p>
        </w:tc>
        <w:tc>
          <w:tcPr>
            <w:tcW w:w="3436" w:type="dxa"/>
            <w:gridSpan w:val="2"/>
            <w:tcBorders>
              <w:top w:val="double" w:sz="6" w:space="0" w:color="auto"/>
              <w:left w:val="nil"/>
              <w:bottom w:val="single" w:sz="4" w:space="0" w:color="auto"/>
              <w:right w:val="double" w:sz="6" w:space="0" w:color="000000"/>
            </w:tcBorders>
            <w:vAlign w:val="center"/>
          </w:tcPr>
          <w:p w:rsidR="00795B89" w:rsidRDefault="00795B89" w:rsidP="006C6762">
            <w:pPr>
              <w:jc w:val="center"/>
              <w:rPr>
                <w:b/>
                <w:bCs/>
                <w:color w:val="000000"/>
                <w:sz w:val="18"/>
                <w:szCs w:val="18"/>
              </w:rPr>
            </w:pPr>
            <w:r w:rsidRPr="00A46DCD">
              <w:rPr>
                <w:b/>
                <w:bCs/>
                <w:color w:val="000000"/>
                <w:sz w:val="18"/>
                <w:szCs w:val="18"/>
              </w:rPr>
              <w:t>Teherhordó falak és merevítéseik</w:t>
            </w:r>
            <w:r>
              <w:rPr>
                <w:b/>
                <w:bCs/>
                <w:color w:val="000000"/>
                <w:sz w:val="18"/>
                <w:szCs w:val="18"/>
              </w:rPr>
              <w:t>*</w:t>
            </w:r>
          </w:p>
          <w:p w:rsidR="00795B89" w:rsidRPr="00A46DCD" w:rsidRDefault="00795B89" w:rsidP="006C6762">
            <w:pPr>
              <w:jc w:val="center"/>
              <w:rPr>
                <w:b/>
                <w:bCs/>
                <w:color w:val="000000"/>
                <w:sz w:val="18"/>
                <w:szCs w:val="18"/>
              </w:rPr>
            </w:pPr>
            <w:r w:rsidRPr="00941DAB">
              <w:rPr>
                <w:color w:val="000000"/>
                <w:sz w:val="18"/>
                <w:szCs w:val="18"/>
              </w:rPr>
              <w:t>3</w:t>
            </w:r>
            <w:r>
              <w:rPr>
                <w:color w:val="000000"/>
                <w:sz w:val="18"/>
                <w:szCs w:val="18"/>
              </w:rPr>
              <w:t>8</w:t>
            </w:r>
            <w:r w:rsidRPr="00941DAB">
              <w:rPr>
                <w:color w:val="000000"/>
                <w:sz w:val="18"/>
                <w:szCs w:val="18"/>
              </w:rPr>
              <w:t xml:space="preserve"> cm vastag </w:t>
            </w:r>
            <w:r w:rsidRPr="00941DAB">
              <w:rPr>
                <w:b/>
                <w:color w:val="000000"/>
                <w:sz w:val="18"/>
                <w:szCs w:val="18"/>
              </w:rPr>
              <w:t>téglafal</w:t>
            </w:r>
          </w:p>
        </w:tc>
        <w:tc>
          <w:tcPr>
            <w:tcW w:w="2529" w:type="dxa"/>
            <w:tcBorders>
              <w:top w:val="nil"/>
              <w:left w:val="nil"/>
              <w:bottom w:val="single" w:sz="4" w:space="0" w:color="auto"/>
              <w:right w:val="single" w:sz="4" w:space="0" w:color="auto"/>
            </w:tcBorders>
            <w:vAlign w:val="center"/>
          </w:tcPr>
          <w:p w:rsidR="00795B89" w:rsidRPr="00A46DCD" w:rsidRDefault="00795B89" w:rsidP="006C6762">
            <w:pPr>
              <w:jc w:val="center"/>
              <w:rPr>
                <w:color w:val="000000"/>
                <w:sz w:val="18"/>
                <w:szCs w:val="18"/>
              </w:rPr>
            </w:pPr>
            <w:r>
              <w:rPr>
                <w:color w:val="000000"/>
                <w:sz w:val="18"/>
                <w:szCs w:val="18"/>
              </w:rPr>
              <w:t>C</w:t>
            </w:r>
            <w:r>
              <w:rPr>
                <w:color w:val="000000"/>
                <w:sz w:val="18"/>
                <w:szCs w:val="18"/>
              </w:rPr>
              <w:br/>
              <w:t>REI 3</w:t>
            </w:r>
            <w:r w:rsidRPr="00A46DCD">
              <w:rPr>
                <w:color w:val="000000"/>
                <w:sz w:val="18"/>
                <w:szCs w:val="18"/>
              </w:rPr>
              <w:t>0</w:t>
            </w:r>
          </w:p>
        </w:tc>
        <w:tc>
          <w:tcPr>
            <w:tcW w:w="1811" w:type="dxa"/>
            <w:tcBorders>
              <w:top w:val="nil"/>
              <w:left w:val="nil"/>
              <w:bottom w:val="single" w:sz="4" w:space="0" w:color="auto"/>
              <w:right w:val="single" w:sz="4" w:space="0" w:color="auto"/>
            </w:tcBorders>
          </w:tcPr>
          <w:p w:rsidR="00795B89" w:rsidRPr="00A46DCD" w:rsidRDefault="00795B89" w:rsidP="006C6762">
            <w:pPr>
              <w:jc w:val="center"/>
              <w:rPr>
                <w:color w:val="000000"/>
                <w:sz w:val="18"/>
                <w:szCs w:val="18"/>
              </w:rPr>
            </w:pPr>
            <w:r>
              <w:rPr>
                <w:color w:val="000000"/>
                <w:sz w:val="18"/>
                <w:szCs w:val="18"/>
              </w:rPr>
              <w:t>A1</w:t>
            </w:r>
            <w:r>
              <w:rPr>
                <w:color w:val="000000"/>
                <w:sz w:val="18"/>
                <w:szCs w:val="18"/>
              </w:rPr>
              <w:br/>
              <w:t>REI 180</w:t>
            </w:r>
          </w:p>
        </w:tc>
      </w:tr>
      <w:tr w:rsidR="00795B89" w:rsidRPr="00A46DCD" w:rsidTr="006C6762">
        <w:trPr>
          <w:trHeight w:val="480"/>
        </w:trPr>
        <w:tc>
          <w:tcPr>
            <w:tcW w:w="1899" w:type="dxa"/>
            <w:vMerge/>
            <w:tcBorders>
              <w:top w:val="nil"/>
              <w:left w:val="single" w:sz="12" w:space="0" w:color="auto"/>
              <w:bottom w:val="single" w:sz="4" w:space="0" w:color="auto"/>
              <w:right w:val="single" w:sz="4" w:space="0" w:color="auto"/>
            </w:tcBorders>
            <w:vAlign w:val="center"/>
          </w:tcPr>
          <w:p w:rsidR="00795B89" w:rsidRPr="00A46DCD" w:rsidRDefault="00795B89" w:rsidP="006C6762">
            <w:pPr>
              <w:rPr>
                <w:color w:val="000000"/>
                <w:sz w:val="18"/>
                <w:szCs w:val="18"/>
              </w:rPr>
            </w:pPr>
          </w:p>
        </w:tc>
        <w:tc>
          <w:tcPr>
            <w:tcW w:w="3436" w:type="dxa"/>
            <w:gridSpan w:val="2"/>
            <w:tcBorders>
              <w:top w:val="single" w:sz="4" w:space="0" w:color="auto"/>
              <w:left w:val="nil"/>
              <w:bottom w:val="single" w:sz="4" w:space="0" w:color="auto"/>
              <w:right w:val="double" w:sz="6" w:space="0" w:color="000000"/>
            </w:tcBorders>
            <w:vAlign w:val="center"/>
          </w:tcPr>
          <w:p w:rsidR="00795B89" w:rsidRDefault="00795B89" w:rsidP="006C6762">
            <w:pPr>
              <w:jc w:val="center"/>
              <w:rPr>
                <w:b/>
                <w:bCs/>
                <w:color w:val="000000"/>
                <w:sz w:val="18"/>
                <w:szCs w:val="18"/>
              </w:rPr>
            </w:pPr>
            <w:r>
              <w:rPr>
                <w:b/>
                <w:bCs/>
                <w:color w:val="000000"/>
                <w:sz w:val="18"/>
                <w:szCs w:val="18"/>
              </w:rPr>
              <w:t>Teherhordó pillérek és merevítéseik</w:t>
            </w:r>
          </w:p>
          <w:p w:rsidR="00795B89" w:rsidRPr="00A46DCD" w:rsidRDefault="00795B89" w:rsidP="006C6762">
            <w:pPr>
              <w:jc w:val="center"/>
              <w:rPr>
                <w:b/>
                <w:bCs/>
                <w:color w:val="000000"/>
                <w:sz w:val="18"/>
                <w:szCs w:val="18"/>
              </w:rPr>
            </w:pPr>
            <w:r>
              <w:rPr>
                <w:color w:val="000000"/>
                <w:sz w:val="18"/>
                <w:szCs w:val="18"/>
              </w:rPr>
              <w:t>acél pillérek tűzvédő festékkel**</w:t>
            </w:r>
          </w:p>
        </w:tc>
        <w:tc>
          <w:tcPr>
            <w:tcW w:w="2529" w:type="dxa"/>
            <w:tcBorders>
              <w:top w:val="nil"/>
              <w:left w:val="nil"/>
              <w:bottom w:val="single" w:sz="4" w:space="0" w:color="auto"/>
              <w:right w:val="single" w:sz="4" w:space="0" w:color="auto"/>
            </w:tcBorders>
            <w:vAlign w:val="center"/>
          </w:tcPr>
          <w:p w:rsidR="00795B89" w:rsidRPr="00A46DCD" w:rsidRDefault="00795B89" w:rsidP="006C6762">
            <w:pPr>
              <w:jc w:val="center"/>
              <w:rPr>
                <w:color w:val="000000"/>
                <w:sz w:val="18"/>
                <w:szCs w:val="18"/>
              </w:rPr>
            </w:pPr>
            <w:r>
              <w:rPr>
                <w:color w:val="000000"/>
                <w:sz w:val="18"/>
                <w:szCs w:val="18"/>
              </w:rPr>
              <w:t>C</w:t>
            </w:r>
            <w:r>
              <w:rPr>
                <w:color w:val="000000"/>
                <w:sz w:val="18"/>
                <w:szCs w:val="18"/>
              </w:rPr>
              <w:br/>
              <w:t>R 3</w:t>
            </w:r>
            <w:r w:rsidRPr="00A46DCD">
              <w:rPr>
                <w:color w:val="000000"/>
                <w:sz w:val="18"/>
                <w:szCs w:val="18"/>
              </w:rPr>
              <w:t>0</w:t>
            </w:r>
          </w:p>
        </w:tc>
        <w:tc>
          <w:tcPr>
            <w:tcW w:w="1811" w:type="dxa"/>
            <w:tcBorders>
              <w:top w:val="nil"/>
              <w:left w:val="nil"/>
              <w:bottom w:val="single" w:sz="4" w:space="0" w:color="auto"/>
              <w:right w:val="single" w:sz="4" w:space="0" w:color="auto"/>
            </w:tcBorders>
          </w:tcPr>
          <w:p w:rsidR="00795B89" w:rsidRPr="00A46DCD" w:rsidRDefault="00795B89" w:rsidP="006C6762">
            <w:pPr>
              <w:jc w:val="center"/>
              <w:rPr>
                <w:color w:val="000000"/>
                <w:sz w:val="18"/>
                <w:szCs w:val="18"/>
              </w:rPr>
            </w:pPr>
            <w:r>
              <w:rPr>
                <w:color w:val="000000"/>
                <w:sz w:val="18"/>
                <w:szCs w:val="18"/>
              </w:rPr>
              <w:t>A1</w:t>
            </w:r>
            <w:r>
              <w:rPr>
                <w:color w:val="000000"/>
                <w:sz w:val="18"/>
                <w:szCs w:val="18"/>
              </w:rPr>
              <w:br/>
              <w:t>R 3</w:t>
            </w:r>
            <w:r w:rsidRPr="00A46DCD">
              <w:rPr>
                <w:color w:val="000000"/>
                <w:sz w:val="18"/>
                <w:szCs w:val="18"/>
              </w:rPr>
              <w:t>0</w:t>
            </w:r>
          </w:p>
        </w:tc>
      </w:tr>
      <w:tr w:rsidR="00795B89" w:rsidRPr="00A46DCD" w:rsidTr="006C6762">
        <w:trPr>
          <w:trHeight w:val="480"/>
        </w:trPr>
        <w:tc>
          <w:tcPr>
            <w:tcW w:w="1899" w:type="dxa"/>
            <w:vMerge/>
            <w:tcBorders>
              <w:top w:val="nil"/>
              <w:left w:val="single" w:sz="12" w:space="0" w:color="auto"/>
              <w:bottom w:val="single" w:sz="4" w:space="0" w:color="auto"/>
              <w:right w:val="single" w:sz="4" w:space="0" w:color="auto"/>
            </w:tcBorders>
            <w:vAlign w:val="center"/>
          </w:tcPr>
          <w:p w:rsidR="00795B89" w:rsidRPr="00A46DCD" w:rsidRDefault="00795B89" w:rsidP="006C6762">
            <w:pPr>
              <w:rPr>
                <w:color w:val="000000"/>
                <w:sz w:val="18"/>
                <w:szCs w:val="18"/>
              </w:rPr>
            </w:pPr>
          </w:p>
        </w:tc>
        <w:tc>
          <w:tcPr>
            <w:tcW w:w="3436" w:type="dxa"/>
            <w:gridSpan w:val="2"/>
            <w:tcBorders>
              <w:top w:val="single" w:sz="4" w:space="0" w:color="auto"/>
              <w:left w:val="nil"/>
              <w:bottom w:val="single" w:sz="4" w:space="0" w:color="auto"/>
              <w:right w:val="single" w:sz="4" w:space="0" w:color="auto"/>
            </w:tcBorders>
            <w:vAlign w:val="center"/>
          </w:tcPr>
          <w:p w:rsidR="00795B89" w:rsidRDefault="00795B89" w:rsidP="006C6762">
            <w:pPr>
              <w:jc w:val="center"/>
              <w:rPr>
                <w:b/>
                <w:bCs/>
                <w:color w:val="000000"/>
                <w:sz w:val="18"/>
                <w:szCs w:val="18"/>
              </w:rPr>
            </w:pPr>
            <w:r w:rsidRPr="00A46DCD">
              <w:rPr>
                <w:b/>
                <w:bCs/>
                <w:color w:val="000000"/>
                <w:sz w:val="18"/>
                <w:szCs w:val="18"/>
              </w:rPr>
              <w:t>Tetőfödém térelhatároló szerkezete (60 kg/m</w:t>
            </w:r>
            <w:r w:rsidRPr="00941DAB">
              <w:rPr>
                <w:b/>
                <w:bCs/>
                <w:color w:val="000000"/>
                <w:sz w:val="18"/>
                <w:szCs w:val="18"/>
                <w:vertAlign w:val="superscript"/>
              </w:rPr>
              <w:t>2</w:t>
            </w:r>
            <w:r w:rsidRPr="00A46DCD">
              <w:rPr>
                <w:b/>
                <w:bCs/>
                <w:color w:val="000000"/>
                <w:sz w:val="18"/>
                <w:szCs w:val="18"/>
              </w:rPr>
              <w:t>-ig)</w:t>
            </w:r>
          </w:p>
          <w:p w:rsidR="00795B89" w:rsidRPr="00A46DCD" w:rsidRDefault="00795B89" w:rsidP="006C6762">
            <w:pPr>
              <w:jc w:val="center"/>
              <w:rPr>
                <w:b/>
                <w:bCs/>
                <w:color w:val="000000"/>
                <w:sz w:val="18"/>
                <w:szCs w:val="18"/>
              </w:rPr>
            </w:pPr>
            <w:r>
              <w:rPr>
                <w:color w:val="000000"/>
                <w:sz w:val="18"/>
                <w:szCs w:val="18"/>
              </w:rPr>
              <w:t>acél szerkezeten tetőpanel</w:t>
            </w:r>
          </w:p>
        </w:tc>
        <w:tc>
          <w:tcPr>
            <w:tcW w:w="2529" w:type="dxa"/>
            <w:tcBorders>
              <w:top w:val="nil"/>
              <w:left w:val="single" w:sz="4" w:space="0" w:color="auto"/>
              <w:bottom w:val="single" w:sz="4" w:space="0" w:color="auto"/>
              <w:right w:val="single" w:sz="4" w:space="0" w:color="auto"/>
            </w:tcBorders>
            <w:vAlign w:val="center"/>
          </w:tcPr>
          <w:p w:rsidR="00795B89" w:rsidRPr="00A46DCD" w:rsidRDefault="00795B89" w:rsidP="006C6762">
            <w:pPr>
              <w:jc w:val="center"/>
              <w:rPr>
                <w:color w:val="000000"/>
                <w:sz w:val="18"/>
                <w:szCs w:val="18"/>
              </w:rPr>
            </w:pPr>
            <w:r>
              <w:rPr>
                <w:color w:val="000000"/>
                <w:sz w:val="18"/>
                <w:szCs w:val="18"/>
              </w:rPr>
              <w:t>C</w:t>
            </w:r>
            <w:r w:rsidRPr="00A46DCD">
              <w:rPr>
                <w:color w:val="000000"/>
                <w:sz w:val="18"/>
                <w:szCs w:val="18"/>
              </w:rPr>
              <w:br/>
              <w:t xml:space="preserve">REI </w:t>
            </w:r>
            <w:r>
              <w:rPr>
                <w:color w:val="000000"/>
                <w:sz w:val="18"/>
                <w:szCs w:val="18"/>
              </w:rPr>
              <w:t>15</w:t>
            </w:r>
          </w:p>
        </w:tc>
        <w:tc>
          <w:tcPr>
            <w:tcW w:w="1811" w:type="dxa"/>
            <w:tcBorders>
              <w:top w:val="nil"/>
              <w:left w:val="nil"/>
              <w:bottom w:val="single" w:sz="4" w:space="0" w:color="auto"/>
              <w:right w:val="single" w:sz="4" w:space="0" w:color="auto"/>
            </w:tcBorders>
          </w:tcPr>
          <w:p w:rsidR="00795B89" w:rsidRDefault="00795B89" w:rsidP="006C6762">
            <w:pPr>
              <w:jc w:val="center"/>
              <w:rPr>
                <w:color w:val="000000"/>
                <w:sz w:val="18"/>
                <w:szCs w:val="18"/>
              </w:rPr>
            </w:pPr>
            <w:r>
              <w:rPr>
                <w:color w:val="000000"/>
                <w:sz w:val="18"/>
                <w:szCs w:val="18"/>
              </w:rPr>
              <w:t>C</w:t>
            </w:r>
          </w:p>
          <w:p w:rsidR="00795B89" w:rsidRPr="00A46DCD" w:rsidRDefault="00795B89" w:rsidP="006C6762">
            <w:pPr>
              <w:jc w:val="center"/>
              <w:rPr>
                <w:color w:val="000000"/>
                <w:sz w:val="18"/>
                <w:szCs w:val="18"/>
              </w:rPr>
            </w:pPr>
            <w:r>
              <w:rPr>
                <w:color w:val="000000"/>
                <w:sz w:val="18"/>
                <w:szCs w:val="18"/>
              </w:rPr>
              <w:t>REI 15</w:t>
            </w:r>
          </w:p>
        </w:tc>
      </w:tr>
      <w:tr w:rsidR="00795B89" w:rsidRPr="00A46DCD" w:rsidTr="006C6762">
        <w:trPr>
          <w:trHeight w:val="480"/>
        </w:trPr>
        <w:tc>
          <w:tcPr>
            <w:tcW w:w="1899" w:type="dxa"/>
            <w:vMerge w:val="restart"/>
            <w:tcBorders>
              <w:top w:val="nil"/>
              <w:left w:val="single" w:sz="12" w:space="0" w:color="auto"/>
              <w:bottom w:val="single" w:sz="4" w:space="0" w:color="auto"/>
              <w:right w:val="single" w:sz="4" w:space="0" w:color="auto"/>
            </w:tcBorders>
            <w:vAlign w:val="center"/>
          </w:tcPr>
          <w:p w:rsidR="00795B89" w:rsidRDefault="00795B89" w:rsidP="006C6762">
            <w:pPr>
              <w:jc w:val="center"/>
              <w:rPr>
                <w:color w:val="000000"/>
                <w:sz w:val="18"/>
                <w:szCs w:val="18"/>
              </w:rPr>
            </w:pPr>
            <w:r w:rsidRPr="00A46DCD">
              <w:rPr>
                <w:color w:val="000000"/>
                <w:sz w:val="18"/>
                <w:szCs w:val="18"/>
              </w:rPr>
              <w:t xml:space="preserve"> Tűzterjedés gátlás építményszerkezetei</w:t>
            </w:r>
          </w:p>
          <w:p w:rsidR="00795B89" w:rsidRDefault="00795B89" w:rsidP="006C6762">
            <w:pPr>
              <w:jc w:val="center"/>
              <w:rPr>
                <w:color w:val="000000"/>
                <w:sz w:val="18"/>
                <w:szCs w:val="18"/>
              </w:rPr>
            </w:pPr>
          </w:p>
          <w:p w:rsidR="00795B89" w:rsidRPr="00A46DCD" w:rsidRDefault="00795B89" w:rsidP="006C6762">
            <w:pPr>
              <w:jc w:val="center"/>
              <w:rPr>
                <w:color w:val="000000"/>
                <w:sz w:val="18"/>
                <w:szCs w:val="18"/>
              </w:rPr>
            </w:pPr>
            <w:r w:rsidRPr="00A46DCD">
              <w:rPr>
                <w:b/>
                <w:bCs/>
                <w:color w:val="000000"/>
                <w:sz w:val="18"/>
                <w:szCs w:val="18"/>
              </w:rPr>
              <w:t xml:space="preserve">  </w:t>
            </w:r>
          </w:p>
        </w:tc>
        <w:tc>
          <w:tcPr>
            <w:tcW w:w="1458" w:type="dxa"/>
            <w:vMerge w:val="restart"/>
            <w:tcBorders>
              <w:top w:val="nil"/>
              <w:left w:val="single" w:sz="4" w:space="0" w:color="auto"/>
              <w:bottom w:val="single" w:sz="4" w:space="0" w:color="auto"/>
              <w:right w:val="single" w:sz="4" w:space="0" w:color="auto"/>
            </w:tcBorders>
            <w:vAlign w:val="center"/>
          </w:tcPr>
          <w:p w:rsidR="00795B89" w:rsidRPr="00A46DCD" w:rsidRDefault="00795B89" w:rsidP="006C6762">
            <w:pPr>
              <w:jc w:val="center"/>
              <w:rPr>
                <w:b/>
                <w:bCs/>
                <w:color w:val="000000"/>
                <w:sz w:val="18"/>
                <w:szCs w:val="18"/>
              </w:rPr>
            </w:pPr>
            <w:r w:rsidRPr="00A46DCD">
              <w:rPr>
                <w:b/>
                <w:bCs/>
                <w:color w:val="000000"/>
                <w:sz w:val="18"/>
                <w:szCs w:val="18"/>
              </w:rPr>
              <w:t>Tűzgátló alapszerkezet</w:t>
            </w:r>
          </w:p>
        </w:tc>
        <w:tc>
          <w:tcPr>
            <w:tcW w:w="1978" w:type="dxa"/>
            <w:tcBorders>
              <w:top w:val="single" w:sz="4" w:space="0" w:color="auto"/>
              <w:left w:val="nil"/>
              <w:bottom w:val="single" w:sz="4" w:space="0" w:color="auto"/>
              <w:right w:val="double" w:sz="6" w:space="0" w:color="000000"/>
            </w:tcBorders>
            <w:vAlign w:val="center"/>
          </w:tcPr>
          <w:p w:rsidR="00795B89" w:rsidRDefault="00795B89" w:rsidP="006C6762">
            <w:pPr>
              <w:jc w:val="center"/>
              <w:rPr>
                <w:b/>
                <w:bCs/>
                <w:color w:val="000000"/>
                <w:sz w:val="18"/>
                <w:szCs w:val="18"/>
              </w:rPr>
            </w:pPr>
            <w:r w:rsidRPr="00A46DCD">
              <w:rPr>
                <w:b/>
                <w:bCs/>
                <w:color w:val="000000"/>
                <w:sz w:val="18"/>
                <w:szCs w:val="18"/>
              </w:rPr>
              <w:t>Tűzgátló fal</w:t>
            </w:r>
          </w:p>
          <w:p w:rsidR="00795B89" w:rsidRPr="00EF118E" w:rsidRDefault="00795B89" w:rsidP="006C6762">
            <w:pPr>
              <w:jc w:val="center"/>
              <w:rPr>
                <w:b/>
                <w:bCs/>
                <w:color w:val="000000"/>
                <w:sz w:val="18"/>
                <w:szCs w:val="18"/>
              </w:rPr>
            </w:pPr>
            <w:r>
              <w:rPr>
                <w:color w:val="000000"/>
                <w:sz w:val="18"/>
                <w:szCs w:val="18"/>
              </w:rPr>
              <w:t>2</w:t>
            </w:r>
            <w:r w:rsidRPr="00551686">
              <w:rPr>
                <w:color w:val="000000"/>
                <w:sz w:val="18"/>
                <w:szCs w:val="18"/>
              </w:rPr>
              <w:t xml:space="preserve">0 cm </w:t>
            </w:r>
            <w:r>
              <w:rPr>
                <w:color w:val="000000"/>
                <w:sz w:val="18"/>
                <w:szCs w:val="18"/>
              </w:rPr>
              <w:t>tégla fal a kazántér és a szomszédos helyiségek között</w:t>
            </w:r>
          </w:p>
        </w:tc>
        <w:tc>
          <w:tcPr>
            <w:tcW w:w="2529" w:type="dxa"/>
            <w:tcBorders>
              <w:top w:val="nil"/>
              <w:left w:val="nil"/>
              <w:bottom w:val="single" w:sz="4" w:space="0" w:color="auto"/>
              <w:right w:val="single" w:sz="4" w:space="0" w:color="auto"/>
            </w:tcBorders>
            <w:vAlign w:val="center"/>
          </w:tcPr>
          <w:p w:rsidR="00795B89" w:rsidRPr="00EF118E" w:rsidRDefault="00795B89" w:rsidP="006C6762">
            <w:pPr>
              <w:jc w:val="center"/>
              <w:rPr>
                <w:color w:val="000000"/>
                <w:sz w:val="18"/>
                <w:szCs w:val="18"/>
              </w:rPr>
            </w:pPr>
            <w:r w:rsidRPr="00EF118E">
              <w:rPr>
                <w:color w:val="000000"/>
                <w:sz w:val="18"/>
                <w:szCs w:val="18"/>
              </w:rPr>
              <w:t>A</w:t>
            </w:r>
            <w:r>
              <w:rPr>
                <w:color w:val="000000"/>
                <w:sz w:val="18"/>
                <w:szCs w:val="18"/>
              </w:rPr>
              <w:t>2</w:t>
            </w:r>
            <w:r w:rsidRPr="00EF118E">
              <w:rPr>
                <w:color w:val="000000"/>
                <w:sz w:val="18"/>
                <w:szCs w:val="18"/>
              </w:rPr>
              <w:br/>
              <w:t xml:space="preserve">REI </w:t>
            </w:r>
            <w:r>
              <w:rPr>
                <w:color w:val="000000"/>
                <w:sz w:val="18"/>
                <w:szCs w:val="18"/>
              </w:rPr>
              <w:t>3</w:t>
            </w:r>
            <w:r w:rsidRPr="00EF118E">
              <w:rPr>
                <w:color w:val="000000"/>
                <w:sz w:val="18"/>
                <w:szCs w:val="18"/>
              </w:rPr>
              <w:t>0</w:t>
            </w:r>
          </w:p>
        </w:tc>
        <w:tc>
          <w:tcPr>
            <w:tcW w:w="1811" w:type="dxa"/>
            <w:tcBorders>
              <w:top w:val="nil"/>
              <w:left w:val="nil"/>
              <w:bottom w:val="single" w:sz="4" w:space="0" w:color="auto"/>
              <w:right w:val="single" w:sz="4" w:space="0" w:color="auto"/>
            </w:tcBorders>
          </w:tcPr>
          <w:p w:rsidR="00795B89" w:rsidRDefault="00795B89" w:rsidP="006C6762">
            <w:pPr>
              <w:jc w:val="center"/>
              <w:rPr>
                <w:color w:val="000000"/>
                <w:sz w:val="18"/>
                <w:szCs w:val="18"/>
              </w:rPr>
            </w:pPr>
          </w:p>
          <w:p w:rsidR="00795B89" w:rsidRPr="00A46DCD" w:rsidRDefault="00795B89" w:rsidP="006C6762">
            <w:pPr>
              <w:jc w:val="center"/>
              <w:rPr>
                <w:color w:val="000000"/>
                <w:sz w:val="18"/>
                <w:szCs w:val="18"/>
              </w:rPr>
            </w:pPr>
            <w:r w:rsidRPr="00EF118E">
              <w:rPr>
                <w:color w:val="000000"/>
                <w:sz w:val="18"/>
                <w:szCs w:val="18"/>
              </w:rPr>
              <w:t>A</w:t>
            </w:r>
            <w:r>
              <w:rPr>
                <w:color w:val="000000"/>
                <w:sz w:val="18"/>
                <w:szCs w:val="18"/>
              </w:rPr>
              <w:t>1</w:t>
            </w:r>
            <w:r w:rsidRPr="00EF118E">
              <w:rPr>
                <w:color w:val="000000"/>
                <w:sz w:val="18"/>
                <w:szCs w:val="18"/>
              </w:rPr>
              <w:br/>
              <w:t xml:space="preserve">REI </w:t>
            </w:r>
            <w:r>
              <w:rPr>
                <w:color w:val="000000"/>
                <w:sz w:val="18"/>
                <w:szCs w:val="18"/>
              </w:rPr>
              <w:t>12</w:t>
            </w:r>
            <w:r w:rsidRPr="00EF118E">
              <w:rPr>
                <w:color w:val="000000"/>
                <w:sz w:val="18"/>
                <w:szCs w:val="18"/>
              </w:rPr>
              <w:t>0</w:t>
            </w:r>
          </w:p>
        </w:tc>
      </w:tr>
      <w:tr w:rsidR="00795B89" w:rsidRPr="00A46DCD" w:rsidTr="006C6762">
        <w:trPr>
          <w:trHeight w:val="480"/>
        </w:trPr>
        <w:tc>
          <w:tcPr>
            <w:tcW w:w="1899" w:type="dxa"/>
            <w:vMerge/>
            <w:tcBorders>
              <w:top w:val="nil"/>
              <w:left w:val="single" w:sz="12" w:space="0" w:color="auto"/>
              <w:bottom w:val="single" w:sz="4" w:space="0" w:color="auto"/>
              <w:right w:val="single" w:sz="4" w:space="0" w:color="auto"/>
            </w:tcBorders>
            <w:vAlign w:val="center"/>
          </w:tcPr>
          <w:p w:rsidR="00795B89" w:rsidRPr="00A46DCD" w:rsidRDefault="00795B89" w:rsidP="006C6762">
            <w:pPr>
              <w:rPr>
                <w:color w:val="000000"/>
                <w:sz w:val="18"/>
                <w:szCs w:val="18"/>
              </w:rPr>
            </w:pPr>
          </w:p>
        </w:tc>
        <w:tc>
          <w:tcPr>
            <w:tcW w:w="1458" w:type="dxa"/>
            <w:vMerge/>
            <w:tcBorders>
              <w:top w:val="nil"/>
              <w:left w:val="single" w:sz="4" w:space="0" w:color="auto"/>
              <w:bottom w:val="single" w:sz="4" w:space="0" w:color="auto"/>
              <w:right w:val="single" w:sz="4" w:space="0" w:color="auto"/>
            </w:tcBorders>
            <w:vAlign w:val="center"/>
          </w:tcPr>
          <w:p w:rsidR="00795B89" w:rsidRPr="00A46DCD" w:rsidRDefault="00795B89" w:rsidP="006C6762">
            <w:pPr>
              <w:rPr>
                <w:b/>
                <w:bCs/>
                <w:color w:val="000000"/>
                <w:sz w:val="18"/>
                <w:szCs w:val="18"/>
              </w:rPr>
            </w:pPr>
          </w:p>
        </w:tc>
        <w:tc>
          <w:tcPr>
            <w:tcW w:w="1978" w:type="dxa"/>
            <w:tcBorders>
              <w:top w:val="single" w:sz="4" w:space="0" w:color="auto"/>
              <w:left w:val="nil"/>
              <w:bottom w:val="single" w:sz="4" w:space="0" w:color="auto"/>
              <w:right w:val="double" w:sz="6" w:space="0" w:color="000000"/>
            </w:tcBorders>
            <w:vAlign w:val="center"/>
          </w:tcPr>
          <w:p w:rsidR="00795B89" w:rsidRPr="00A46DCD" w:rsidRDefault="00795B89" w:rsidP="006C6762">
            <w:pPr>
              <w:jc w:val="center"/>
              <w:rPr>
                <w:b/>
                <w:bCs/>
                <w:color w:val="000000"/>
                <w:sz w:val="18"/>
                <w:szCs w:val="18"/>
              </w:rPr>
            </w:pPr>
            <w:r>
              <w:rPr>
                <w:b/>
                <w:bCs/>
                <w:color w:val="000000"/>
                <w:sz w:val="18"/>
                <w:szCs w:val="18"/>
              </w:rPr>
              <w:t>Tűzgátló nyílászáró tűzgátló falban***</w:t>
            </w:r>
          </w:p>
        </w:tc>
        <w:tc>
          <w:tcPr>
            <w:tcW w:w="2529" w:type="dxa"/>
            <w:tcBorders>
              <w:top w:val="nil"/>
              <w:left w:val="nil"/>
              <w:bottom w:val="single" w:sz="4" w:space="0" w:color="auto"/>
              <w:right w:val="single" w:sz="4" w:space="0" w:color="auto"/>
            </w:tcBorders>
            <w:vAlign w:val="center"/>
          </w:tcPr>
          <w:p w:rsidR="00795B89" w:rsidRPr="00A46DCD" w:rsidRDefault="00795B89" w:rsidP="006C6762">
            <w:pPr>
              <w:jc w:val="center"/>
              <w:rPr>
                <w:color w:val="000000"/>
                <w:sz w:val="18"/>
                <w:szCs w:val="18"/>
              </w:rPr>
            </w:pPr>
            <w:r>
              <w:rPr>
                <w:color w:val="000000"/>
                <w:sz w:val="18"/>
                <w:szCs w:val="18"/>
              </w:rPr>
              <w:t>D</w:t>
            </w:r>
            <w:r>
              <w:rPr>
                <w:color w:val="000000"/>
                <w:sz w:val="18"/>
                <w:szCs w:val="18"/>
              </w:rPr>
              <w:br/>
              <w:t>EI</w:t>
            </w:r>
            <w:r>
              <w:rPr>
                <w:color w:val="000000"/>
                <w:sz w:val="18"/>
                <w:szCs w:val="18"/>
                <w:vertAlign w:val="subscript"/>
              </w:rPr>
              <w:t>2</w:t>
            </w:r>
            <w:r>
              <w:rPr>
                <w:color w:val="000000"/>
                <w:sz w:val="18"/>
                <w:szCs w:val="18"/>
              </w:rPr>
              <w:t xml:space="preserve"> 30-C</w:t>
            </w:r>
          </w:p>
        </w:tc>
        <w:tc>
          <w:tcPr>
            <w:tcW w:w="1811" w:type="dxa"/>
            <w:tcBorders>
              <w:top w:val="nil"/>
              <w:left w:val="nil"/>
              <w:bottom w:val="single" w:sz="4" w:space="0" w:color="auto"/>
              <w:right w:val="single" w:sz="4" w:space="0" w:color="auto"/>
            </w:tcBorders>
          </w:tcPr>
          <w:p w:rsidR="00795B89" w:rsidRPr="00A46DCD" w:rsidRDefault="00795B89" w:rsidP="006C6762">
            <w:pPr>
              <w:jc w:val="center"/>
              <w:rPr>
                <w:color w:val="000000"/>
                <w:sz w:val="18"/>
                <w:szCs w:val="18"/>
              </w:rPr>
            </w:pPr>
          </w:p>
        </w:tc>
      </w:tr>
      <w:tr w:rsidR="00795B89" w:rsidRPr="00A46DCD" w:rsidTr="006C6762">
        <w:trPr>
          <w:trHeight w:val="980"/>
        </w:trPr>
        <w:tc>
          <w:tcPr>
            <w:tcW w:w="1899" w:type="dxa"/>
            <w:vMerge/>
            <w:tcBorders>
              <w:top w:val="nil"/>
              <w:left w:val="single" w:sz="12" w:space="0" w:color="auto"/>
              <w:bottom w:val="single" w:sz="4" w:space="0" w:color="auto"/>
              <w:right w:val="single" w:sz="4" w:space="0" w:color="auto"/>
            </w:tcBorders>
            <w:vAlign w:val="center"/>
          </w:tcPr>
          <w:p w:rsidR="00795B89" w:rsidRPr="00A46DCD" w:rsidRDefault="00795B89" w:rsidP="006C6762">
            <w:pPr>
              <w:rPr>
                <w:color w:val="000000"/>
                <w:sz w:val="18"/>
                <w:szCs w:val="18"/>
              </w:rPr>
            </w:pPr>
          </w:p>
        </w:tc>
        <w:tc>
          <w:tcPr>
            <w:tcW w:w="3436" w:type="dxa"/>
            <w:gridSpan w:val="2"/>
            <w:tcBorders>
              <w:top w:val="single" w:sz="4" w:space="0" w:color="auto"/>
              <w:left w:val="nil"/>
              <w:bottom w:val="single" w:sz="4" w:space="0" w:color="auto"/>
              <w:right w:val="double" w:sz="6" w:space="0" w:color="000000"/>
            </w:tcBorders>
            <w:vAlign w:val="center"/>
          </w:tcPr>
          <w:p w:rsidR="00795B89" w:rsidRPr="00A46DCD" w:rsidRDefault="00795B89" w:rsidP="006C6762">
            <w:pPr>
              <w:jc w:val="center"/>
              <w:rPr>
                <w:b/>
                <w:bCs/>
                <w:color w:val="000000"/>
                <w:sz w:val="18"/>
                <w:szCs w:val="18"/>
              </w:rPr>
            </w:pPr>
            <w:r w:rsidRPr="00A46DCD">
              <w:rPr>
                <w:b/>
                <w:bCs/>
                <w:color w:val="000000"/>
                <w:sz w:val="18"/>
                <w:szCs w:val="18"/>
              </w:rPr>
              <w:t>Tűzterjedés elleni gát</w:t>
            </w:r>
          </w:p>
        </w:tc>
        <w:tc>
          <w:tcPr>
            <w:tcW w:w="2529" w:type="dxa"/>
            <w:tcBorders>
              <w:top w:val="nil"/>
              <w:left w:val="nil"/>
              <w:bottom w:val="single" w:sz="4" w:space="0" w:color="auto"/>
              <w:right w:val="single" w:sz="4" w:space="0" w:color="auto"/>
            </w:tcBorders>
            <w:vAlign w:val="center"/>
          </w:tcPr>
          <w:p w:rsidR="00795B89" w:rsidRDefault="00795B89" w:rsidP="006C6762">
            <w:pPr>
              <w:jc w:val="center"/>
              <w:rPr>
                <w:color w:val="000000"/>
                <w:sz w:val="18"/>
                <w:szCs w:val="18"/>
              </w:rPr>
            </w:pPr>
            <w:r>
              <w:rPr>
                <w:color w:val="000000"/>
                <w:sz w:val="18"/>
                <w:szCs w:val="18"/>
              </w:rPr>
              <w:t>A2</w:t>
            </w:r>
            <w:r w:rsidRPr="00A46DCD">
              <w:rPr>
                <w:color w:val="000000"/>
                <w:sz w:val="18"/>
                <w:szCs w:val="18"/>
              </w:rPr>
              <w:t xml:space="preserve"> </w:t>
            </w:r>
          </w:p>
          <w:p w:rsidR="00795B89" w:rsidRPr="00A46DCD" w:rsidRDefault="00795B89" w:rsidP="006C6762">
            <w:pPr>
              <w:jc w:val="center"/>
              <w:rPr>
                <w:color w:val="000000"/>
                <w:sz w:val="18"/>
                <w:szCs w:val="18"/>
              </w:rPr>
            </w:pPr>
            <w:r>
              <w:rPr>
                <w:color w:val="000000"/>
                <w:sz w:val="18"/>
                <w:szCs w:val="18"/>
              </w:rPr>
              <w:t>EI 30</w:t>
            </w:r>
          </w:p>
        </w:tc>
        <w:tc>
          <w:tcPr>
            <w:tcW w:w="1811" w:type="dxa"/>
            <w:tcBorders>
              <w:top w:val="nil"/>
              <w:left w:val="nil"/>
              <w:bottom w:val="single" w:sz="4" w:space="0" w:color="auto"/>
              <w:right w:val="single" w:sz="4" w:space="0" w:color="auto"/>
            </w:tcBorders>
          </w:tcPr>
          <w:p w:rsidR="00795B89" w:rsidRPr="00A46DCD" w:rsidRDefault="00795B89" w:rsidP="006C6762">
            <w:pPr>
              <w:jc w:val="center"/>
              <w:rPr>
                <w:color w:val="000000"/>
                <w:sz w:val="18"/>
                <w:szCs w:val="18"/>
              </w:rPr>
            </w:pPr>
          </w:p>
        </w:tc>
      </w:tr>
      <w:tr w:rsidR="00795B89" w:rsidRPr="00A46DCD" w:rsidTr="006C6762">
        <w:trPr>
          <w:trHeight w:val="966"/>
        </w:trPr>
        <w:tc>
          <w:tcPr>
            <w:tcW w:w="1899" w:type="dxa"/>
            <w:vMerge/>
            <w:tcBorders>
              <w:top w:val="nil"/>
              <w:left w:val="single" w:sz="12" w:space="0" w:color="auto"/>
              <w:bottom w:val="single" w:sz="4" w:space="0" w:color="auto"/>
              <w:right w:val="single" w:sz="4" w:space="0" w:color="auto"/>
            </w:tcBorders>
            <w:vAlign w:val="center"/>
          </w:tcPr>
          <w:p w:rsidR="00795B89" w:rsidRPr="00A46DCD" w:rsidRDefault="00795B89" w:rsidP="006C6762">
            <w:pPr>
              <w:rPr>
                <w:color w:val="000000"/>
                <w:sz w:val="18"/>
                <w:szCs w:val="18"/>
              </w:rPr>
            </w:pPr>
          </w:p>
        </w:tc>
        <w:tc>
          <w:tcPr>
            <w:tcW w:w="1458" w:type="dxa"/>
            <w:vMerge w:val="restart"/>
            <w:tcBorders>
              <w:top w:val="nil"/>
              <w:left w:val="single" w:sz="4" w:space="0" w:color="auto"/>
              <w:bottom w:val="single" w:sz="4" w:space="0" w:color="auto"/>
              <w:right w:val="single" w:sz="4" w:space="0" w:color="auto"/>
            </w:tcBorders>
            <w:vAlign w:val="center"/>
          </w:tcPr>
          <w:p w:rsidR="00795B89" w:rsidRPr="00A46DCD" w:rsidRDefault="00795B89" w:rsidP="006C6762">
            <w:pPr>
              <w:rPr>
                <w:b/>
                <w:bCs/>
                <w:color w:val="000000"/>
                <w:sz w:val="18"/>
                <w:szCs w:val="18"/>
              </w:rPr>
            </w:pPr>
            <w:r w:rsidRPr="00A46DCD">
              <w:rPr>
                <w:b/>
                <w:bCs/>
                <w:color w:val="000000"/>
                <w:sz w:val="18"/>
                <w:szCs w:val="18"/>
              </w:rPr>
              <w:t>Tűzgátló lezárás</w:t>
            </w:r>
          </w:p>
        </w:tc>
        <w:tc>
          <w:tcPr>
            <w:tcW w:w="1978" w:type="dxa"/>
            <w:tcBorders>
              <w:top w:val="single" w:sz="4" w:space="0" w:color="auto"/>
              <w:left w:val="nil"/>
              <w:bottom w:val="single" w:sz="4" w:space="0" w:color="auto"/>
              <w:right w:val="double" w:sz="6" w:space="0" w:color="000000"/>
            </w:tcBorders>
            <w:vAlign w:val="center"/>
          </w:tcPr>
          <w:p w:rsidR="00795B89" w:rsidRPr="00A46DCD" w:rsidRDefault="00795B89" w:rsidP="006C6762">
            <w:pPr>
              <w:jc w:val="center"/>
              <w:rPr>
                <w:b/>
                <w:bCs/>
                <w:color w:val="000000"/>
                <w:sz w:val="18"/>
                <w:szCs w:val="18"/>
              </w:rPr>
            </w:pPr>
            <w:r w:rsidRPr="00A46DCD">
              <w:rPr>
                <w:b/>
                <w:bCs/>
                <w:color w:val="000000"/>
                <w:sz w:val="18"/>
                <w:szCs w:val="18"/>
              </w:rPr>
              <w:t>Tűzgátló réskitöltő-réslezáró rendszerek</w:t>
            </w:r>
          </w:p>
        </w:tc>
        <w:tc>
          <w:tcPr>
            <w:tcW w:w="2529" w:type="dxa"/>
            <w:tcBorders>
              <w:top w:val="nil"/>
              <w:left w:val="nil"/>
              <w:bottom w:val="single" w:sz="4" w:space="0" w:color="auto"/>
              <w:right w:val="single" w:sz="4" w:space="0" w:color="auto"/>
            </w:tcBorders>
            <w:vAlign w:val="center"/>
          </w:tcPr>
          <w:p w:rsidR="00795B89" w:rsidRPr="00A46DCD" w:rsidRDefault="00795B89" w:rsidP="006C6762">
            <w:pPr>
              <w:jc w:val="center"/>
              <w:rPr>
                <w:color w:val="000000"/>
                <w:sz w:val="18"/>
                <w:szCs w:val="18"/>
              </w:rPr>
            </w:pPr>
            <w:r w:rsidRPr="00A46DCD">
              <w:rPr>
                <w:color w:val="000000"/>
                <w:sz w:val="18"/>
                <w:szCs w:val="18"/>
              </w:rPr>
              <w:t xml:space="preserve">EI </w:t>
            </w:r>
            <w:r>
              <w:rPr>
                <w:color w:val="000000"/>
                <w:sz w:val="18"/>
                <w:szCs w:val="18"/>
              </w:rPr>
              <w:t>3</w:t>
            </w:r>
            <w:r w:rsidRPr="00A46DCD">
              <w:rPr>
                <w:color w:val="000000"/>
                <w:sz w:val="18"/>
                <w:szCs w:val="18"/>
              </w:rPr>
              <w:t>0</w:t>
            </w:r>
          </w:p>
        </w:tc>
        <w:tc>
          <w:tcPr>
            <w:tcW w:w="1811" w:type="dxa"/>
            <w:tcBorders>
              <w:top w:val="nil"/>
              <w:left w:val="nil"/>
              <w:bottom w:val="single" w:sz="4" w:space="0" w:color="auto"/>
              <w:right w:val="single" w:sz="4" w:space="0" w:color="auto"/>
            </w:tcBorders>
          </w:tcPr>
          <w:p w:rsidR="00795B89" w:rsidRPr="00A46DCD" w:rsidRDefault="00795B89" w:rsidP="006C6762">
            <w:pPr>
              <w:jc w:val="center"/>
              <w:rPr>
                <w:color w:val="000000"/>
                <w:sz w:val="18"/>
                <w:szCs w:val="18"/>
              </w:rPr>
            </w:pPr>
          </w:p>
        </w:tc>
      </w:tr>
      <w:tr w:rsidR="00795B89" w:rsidRPr="00A46DCD" w:rsidTr="006C6762">
        <w:trPr>
          <w:trHeight w:val="964"/>
        </w:trPr>
        <w:tc>
          <w:tcPr>
            <w:tcW w:w="1899" w:type="dxa"/>
            <w:vMerge/>
            <w:tcBorders>
              <w:top w:val="nil"/>
              <w:left w:val="single" w:sz="12" w:space="0" w:color="auto"/>
              <w:bottom w:val="single" w:sz="4" w:space="0" w:color="auto"/>
              <w:right w:val="single" w:sz="4" w:space="0" w:color="auto"/>
            </w:tcBorders>
            <w:vAlign w:val="center"/>
          </w:tcPr>
          <w:p w:rsidR="00795B89" w:rsidRPr="00A46DCD" w:rsidRDefault="00795B89" w:rsidP="006C6762">
            <w:pPr>
              <w:rPr>
                <w:color w:val="000000"/>
                <w:sz w:val="18"/>
                <w:szCs w:val="18"/>
              </w:rPr>
            </w:pPr>
          </w:p>
        </w:tc>
        <w:tc>
          <w:tcPr>
            <w:tcW w:w="1458" w:type="dxa"/>
            <w:vMerge/>
            <w:tcBorders>
              <w:top w:val="nil"/>
              <w:left w:val="single" w:sz="4" w:space="0" w:color="auto"/>
              <w:bottom w:val="single" w:sz="4" w:space="0" w:color="auto"/>
              <w:right w:val="single" w:sz="4" w:space="0" w:color="auto"/>
            </w:tcBorders>
            <w:vAlign w:val="center"/>
          </w:tcPr>
          <w:p w:rsidR="00795B89" w:rsidRPr="00A46DCD" w:rsidRDefault="00795B89" w:rsidP="006C6762">
            <w:pPr>
              <w:rPr>
                <w:b/>
                <w:bCs/>
                <w:color w:val="000000"/>
                <w:sz w:val="18"/>
                <w:szCs w:val="18"/>
              </w:rPr>
            </w:pPr>
          </w:p>
        </w:tc>
        <w:tc>
          <w:tcPr>
            <w:tcW w:w="1978" w:type="dxa"/>
            <w:tcBorders>
              <w:top w:val="single" w:sz="4" w:space="0" w:color="auto"/>
              <w:left w:val="nil"/>
              <w:bottom w:val="single" w:sz="4" w:space="0" w:color="auto"/>
              <w:right w:val="double" w:sz="6" w:space="0" w:color="000000"/>
            </w:tcBorders>
            <w:vAlign w:val="center"/>
          </w:tcPr>
          <w:p w:rsidR="00795B89" w:rsidRPr="00A46DCD" w:rsidRDefault="00795B89" w:rsidP="006C6762">
            <w:pPr>
              <w:jc w:val="center"/>
              <w:rPr>
                <w:b/>
                <w:bCs/>
                <w:color w:val="000000"/>
                <w:sz w:val="18"/>
                <w:szCs w:val="18"/>
              </w:rPr>
            </w:pPr>
            <w:r w:rsidRPr="00A46DCD">
              <w:rPr>
                <w:b/>
                <w:bCs/>
                <w:color w:val="000000"/>
                <w:sz w:val="18"/>
                <w:szCs w:val="18"/>
              </w:rPr>
              <w:t>Tűzgátló lineáris hézagtömítések</w:t>
            </w:r>
          </w:p>
        </w:tc>
        <w:tc>
          <w:tcPr>
            <w:tcW w:w="2529" w:type="dxa"/>
            <w:tcBorders>
              <w:top w:val="nil"/>
              <w:left w:val="nil"/>
              <w:bottom w:val="single" w:sz="4" w:space="0" w:color="auto"/>
              <w:right w:val="single" w:sz="4" w:space="0" w:color="auto"/>
            </w:tcBorders>
            <w:vAlign w:val="center"/>
          </w:tcPr>
          <w:p w:rsidR="00795B89" w:rsidRPr="00A46DCD" w:rsidRDefault="00795B89" w:rsidP="006C6762">
            <w:pPr>
              <w:jc w:val="center"/>
              <w:rPr>
                <w:color w:val="000000"/>
                <w:sz w:val="18"/>
                <w:szCs w:val="18"/>
              </w:rPr>
            </w:pPr>
            <w:r w:rsidRPr="00A46DCD">
              <w:rPr>
                <w:color w:val="000000"/>
                <w:sz w:val="18"/>
                <w:szCs w:val="18"/>
              </w:rPr>
              <w:t xml:space="preserve">EI </w:t>
            </w:r>
            <w:r>
              <w:rPr>
                <w:color w:val="000000"/>
                <w:sz w:val="18"/>
                <w:szCs w:val="18"/>
              </w:rPr>
              <w:t>3</w:t>
            </w:r>
            <w:r w:rsidRPr="00A46DCD">
              <w:rPr>
                <w:color w:val="000000"/>
                <w:sz w:val="18"/>
                <w:szCs w:val="18"/>
              </w:rPr>
              <w:t>0</w:t>
            </w:r>
          </w:p>
        </w:tc>
        <w:tc>
          <w:tcPr>
            <w:tcW w:w="1811" w:type="dxa"/>
            <w:tcBorders>
              <w:top w:val="nil"/>
              <w:left w:val="nil"/>
              <w:bottom w:val="single" w:sz="4" w:space="0" w:color="auto"/>
              <w:right w:val="single" w:sz="4" w:space="0" w:color="auto"/>
            </w:tcBorders>
          </w:tcPr>
          <w:p w:rsidR="00795B89" w:rsidRPr="00A46DCD" w:rsidRDefault="00795B89" w:rsidP="006C6762">
            <w:pPr>
              <w:jc w:val="center"/>
              <w:rPr>
                <w:color w:val="000000"/>
                <w:sz w:val="18"/>
                <w:szCs w:val="18"/>
              </w:rPr>
            </w:pPr>
          </w:p>
        </w:tc>
      </w:tr>
      <w:tr w:rsidR="00795B89" w:rsidRPr="00A46DCD" w:rsidTr="006C6762">
        <w:trPr>
          <w:trHeight w:val="300"/>
        </w:trPr>
        <w:tc>
          <w:tcPr>
            <w:tcW w:w="1899" w:type="dxa"/>
            <w:vMerge/>
            <w:tcBorders>
              <w:top w:val="nil"/>
              <w:left w:val="single" w:sz="12" w:space="0" w:color="auto"/>
              <w:bottom w:val="single" w:sz="4" w:space="0" w:color="auto"/>
              <w:right w:val="single" w:sz="4" w:space="0" w:color="auto"/>
            </w:tcBorders>
            <w:vAlign w:val="center"/>
          </w:tcPr>
          <w:p w:rsidR="00795B89" w:rsidRPr="00A46DCD" w:rsidRDefault="00795B89" w:rsidP="006C6762">
            <w:pPr>
              <w:rPr>
                <w:color w:val="000000"/>
                <w:sz w:val="18"/>
                <w:szCs w:val="18"/>
              </w:rPr>
            </w:pPr>
          </w:p>
        </w:tc>
        <w:tc>
          <w:tcPr>
            <w:tcW w:w="1458" w:type="dxa"/>
            <w:vMerge/>
            <w:tcBorders>
              <w:top w:val="nil"/>
              <w:left w:val="single" w:sz="4" w:space="0" w:color="auto"/>
              <w:bottom w:val="single" w:sz="4" w:space="0" w:color="auto"/>
              <w:right w:val="single" w:sz="4" w:space="0" w:color="auto"/>
            </w:tcBorders>
            <w:vAlign w:val="center"/>
          </w:tcPr>
          <w:p w:rsidR="00795B89" w:rsidRPr="00A46DCD" w:rsidRDefault="00795B89" w:rsidP="006C6762">
            <w:pPr>
              <w:rPr>
                <w:b/>
                <w:bCs/>
                <w:color w:val="000000"/>
                <w:sz w:val="18"/>
                <w:szCs w:val="18"/>
              </w:rPr>
            </w:pPr>
          </w:p>
        </w:tc>
        <w:tc>
          <w:tcPr>
            <w:tcW w:w="1978" w:type="dxa"/>
            <w:tcBorders>
              <w:top w:val="single" w:sz="4" w:space="0" w:color="auto"/>
              <w:left w:val="nil"/>
              <w:bottom w:val="single" w:sz="4" w:space="0" w:color="auto"/>
              <w:right w:val="double" w:sz="6" w:space="0" w:color="000000"/>
            </w:tcBorders>
            <w:vAlign w:val="center"/>
          </w:tcPr>
          <w:p w:rsidR="00795B89" w:rsidRPr="00A46DCD" w:rsidRDefault="00795B89" w:rsidP="006C6762">
            <w:pPr>
              <w:jc w:val="center"/>
              <w:rPr>
                <w:b/>
                <w:bCs/>
                <w:color w:val="000000"/>
                <w:sz w:val="18"/>
                <w:szCs w:val="18"/>
              </w:rPr>
            </w:pPr>
            <w:r w:rsidRPr="00A46DCD">
              <w:rPr>
                <w:b/>
                <w:bCs/>
                <w:color w:val="000000"/>
                <w:sz w:val="18"/>
                <w:szCs w:val="18"/>
              </w:rPr>
              <w:t>Tűzgátló záróelem</w:t>
            </w:r>
          </w:p>
        </w:tc>
        <w:tc>
          <w:tcPr>
            <w:tcW w:w="2529" w:type="dxa"/>
            <w:tcBorders>
              <w:top w:val="nil"/>
              <w:left w:val="nil"/>
              <w:bottom w:val="single" w:sz="4" w:space="0" w:color="auto"/>
              <w:right w:val="single" w:sz="4" w:space="0" w:color="auto"/>
            </w:tcBorders>
            <w:vAlign w:val="center"/>
          </w:tcPr>
          <w:p w:rsidR="00795B89" w:rsidRPr="00A46DCD" w:rsidRDefault="00795B89" w:rsidP="006C6762">
            <w:pPr>
              <w:jc w:val="center"/>
              <w:rPr>
                <w:color w:val="000000"/>
                <w:sz w:val="18"/>
                <w:szCs w:val="18"/>
              </w:rPr>
            </w:pPr>
            <w:r>
              <w:rPr>
                <w:color w:val="000000"/>
                <w:sz w:val="18"/>
                <w:szCs w:val="18"/>
              </w:rPr>
              <w:t>EI 3</w:t>
            </w:r>
            <w:r w:rsidRPr="00A46DCD">
              <w:rPr>
                <w:color w:val="000000"/>
                <w:sz w:val="18"/>
                <w:szCs w:val="18"/>
              </w:rPr>
              <w:t>0</w:t>
            </w:r>
          </w:p>
        </w:tc>
        <w:tc>
          <w:tcPr>
            <w:tcW w:w="1811" w:type="dxa"/>
            <w:tcBorders>
              <w:top w:val="nil"/>
              <w:left w:val="nil"/>
              <w:bottom w:val="single" w:sz="4" w:space="0" w:color="auto"/>
              <w:right w:val="single" w:sz="4" w:space="0" w:color="auto"/>
            </w:tcBorders>
          </w:tcPr>
          <w:p w:rsidR="00795B89" w:rsidRPr="00A46DCD" w:rsidRDefault="00795B89" w:rsidP="006C6762">
            <w:pPr>
              <w:jc w:val="center"/>
              <w:rPr>
                <w:color w:val="000000"/>
                <w:sz w:val="18"/>
                <w:szCs w:val="18"/>
              </w:rPr>
            </w:pPr>
          </w:p>
        </w:tc>
      </w:tr>
    </w:tbl>
    <w:p w:rsidR="00795B89" w:rsidRPr="00795B89" w:rsidRDefault="00795B89" w:rsidP="00795B89">
      <w:pPr>
        <w:rPr>
          <w:rFonts w:ascii="Arial" w:hAnsi="Arial" w:cs="Arial"/>
        </w:rPr>
      </w:pPr>
      <w:r w:rsidRPr="00795B89">
        <w:rPr>
          <w:rFonts w:ascii="Arial" w:hAnsi="Arial" w:cs="Arial"/>
        </w:rPr>
        <w:t>*meglévő épületszerkezetek</w:t>
      </w:r>
    </w:p>
    <w:p w:rsidR="00795B89" w:rsidRPr="00795B89" w:rsidRDefault="00795B89" w:rsidP="00795B89">
      <w:pPr>
        <w:rPr>
          <w:rFonts w:ascii="Arial" w:hAnsi="Arial" w:cs="Arial"/>
        </w:rPr>
      </w:pPr>
    </w:p>
    <w:p w:rsidR="00795B89" w:rsidRPr="00795B89" w:rsidRDefault="00795B89" w:rsidP="00795B89">
      <w:pPr>
        <w:pStyle w:val="Szvegtrzs31"/>
        <w:rPr>
          <w:rFonts w:ascii="Arial" w:hAnsi="Arial" w:cs="Arial"/>
          <w:bCs/>
          <w:szCs w:val="24"/>
          <w:u w:val="none"/>
        </w:rPr>
      </w:pPr>
      <w:r w:rsidRPr="00795B89">
        <w:rPr>
          <w:rFonts w:ascii="Arial" w:hAnsi="Arial" w:cs="Arial"/>
          <w:szCs w:val="24"/>
          <w:u w:val="none"/>
        </w:rPr>
        <w:t>**</w:t>
      </w:r>
      <w:r w:rsidRPr="00795B89">
        <w:rPr>
          <w:rFonts w:ascii="Arial" w:hAnsi="Arial" w:cs="Arial"/>
          <w:bCs/>
          <w:szCs w:val="24"/>
          <w:u w:val="none"/>
        </w:rPr>
        <w:t xml:space="preserve"> Az acél tartószerkezetek falvastagsága legalább 5 mm, így alkalmazható tűzvédő festékbevonó rendszer. (A tűzvédő festékbevonatot felhordó a 45/2011. (XII. 7.) BM rendelet alapján tűzvédelmi szakvizsgával kell hogy rendelkezzen. A festés esetében rétegvastagság mérést kell végezni, erről jegyzőkönyvet kell felvenni.)</w:t>
      </w:r>
    </w:p>
    <w:p w:rsidR="00795B89" w:rsidRPr="00795B89" w:rsidRDefault="00795B89" w:rsidP="00795B89">
      <w:pPr>
        <w:rPr>
          <w:rFonts w:ascii="Arial" w:hAnsi="Arial" w:cs="Arial"/>
        </w:rPr>
      </w:pPr>
    </w:p>
    <w:p w:rsidR="00795B89" w:rsidRPr="00795B89" w:rsidRDefault="00795B89" w:rsidP="00795B89">
      <w:pPr>
        <w:spacing w:after="60"/>
        <w:rPr>
          <w:rFonts w:ascii="Arial" w:hAnsi="Arial" w:cs="Arial"/>
        </w:rPr>
      </w:pPr>
      <w:r w:rsidRPr="00795B89">
        <w:rPr>
          <w:rFonts w:ascii="Arial" w:hAnsi="Arial" w:cs="Arial"/>
        </w:rPr>
        <w:t>***Az önműködő csukódással kapcsolatos vizsgálati ciklus szerinti besorolása a visszavont MSZ EN 146000:2006. szabvány (Tűzálló és/vagy füstgátló tulajdonságú ajtók, kapuk és nyitható ablakok. Követelmények és osztályba sorolás) 4.8.1. szakasz 1. táblázata alapján.</w:t>
      </w:r>
    </w:p>
    <w:p w:rsidR="00795B89" w:rsidRPr="00795B89" w:rsidRDefault="00795B89" w:rsidP="00795B89">
      <w:pPr>
        <w:spacing w:after="60"/>
        <w:rPr>
          <w:rFonts w:ascii="Arial" w:hAnsi="Arial" w:cs="Arial"/>
          <w:sz w:val="16"/>
          <w:szCs w:val="16"/>
        </w:rPr>
      </w:pPr>
    </w:p>
    <w:tbl>
      <w:tblPr>
        <w:tblW w:w="0" w:type="auto"/>
        <w:tblInd w:w="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04"/>
      </w:tblGrid>
      <w:tr w:rsidR="00795B89" w:rsidRPr="008974B8" w:rsidTr="006C6762">
        <w:tc>
          <w:tcPr>
            <w:tcW w:w="6204" w:type="dxa"/>
          </w:tcPr>
          <w:p w:rsidR="00795B89" w:rsidRPr="008974B8" w:rsidRDefault="00795B89" w:rsidP="006C6762">
            <w:pPr>
              <w:spacing w:after="20"/>
              <w:rPr>
                <w:sz w:val="16"/>
                <w:szCs w:val="16"/>
              </w:rPr>
            </w:pPr>
            <w:r w:rsidRPr="008974B8">
              <w:rPr>
                <w:b/>
                <w:bCs/>
                <w:sz w:val="16"/>
                <w:szCs w:val="16"/>
              </w:rPr>
              <w:t>C0: 0 (NDP)</w:t>
            </w:r>
            <w:r w:rsidRPr="008974B8">
              <w:rPr>
                <w:sz w:val="16"/>
                <w:szCs w:val="16"/>
              </w:rPr>
              <w:t xml:space="preserve"> – nincs meghatározva teljesítmény</w:t>
            </w:r>
          </w:p>
          <w:p w:rsidR="00795B89" w:rsidRPr="008974B8" w:rsidRDefault="00795B89" w:rsidP="006C6762">
            <w:pPr>
              <w:spacing w:after="20"/>
              <w:rPr>
                <w:sz w:val="16"/>
                <w:szCs w:val="16"/>
              </w:rPr>
            </w:pPr>
            <w:r w:rsidRPr="008974B8">
              <w:rPr>
                <w:b/>
                <w:bCs/>
                <w:sz w:val="16"/>
                <w:szCs w:val="16"/>
              </w:rPr>
              <w:t>C1:500</w:t>
            </w:r>
            <w:r w:rsidRPr="008974B8">
              <w:rPr>
                <w:sz w:val="16"/>
                <w:szCs w:val="16"/>
              </w:rPr>
              <w:t xml:space="preserve"> – ha a nyílászáró üzemszerűen nyitott állapotban van és csak karbantartáskor vagy tűz esetén csukódik be</w:t>
            </w:r>
          </w:p>
          <w:p w:rsidR="00795B89" w:rsidRPr="008974B8" w:rsidRDefault="00795B89" w:rsidP="006C6762">
            <w:pPr>
              <w:spacing w:after="20"/>
              <w:rPr>
                <w:sz w:val="16"/>
                <w:szCs w:val="16"/>
              </w:rPr>
            </w:pPr>
            <w:r w:rsidRPr="008974B8">
              <w:rPr>
                <w:b/>
                <w:bCs/>
                <w:sz w:val="16"/>
                <w:szCs w:val="16"/>
              </w:rPr>
              <w:t>C2:10.000</w:t>
            </w:r>
            <w:r w:rsidRPr="008974B8">
              <w:rPr>
                <w:sz w:val="16"/>
                <w:szCs w:val="16"/>
              </w:rPr>
              <w:t xml:space="preserve"> – ritka, jellemzően gondos használat</w:t>
            </w:r>
          </w:p>
          <w:p w:rsidR="00795B89" w:rsidRPr="008974B8" w:rsidRDefault="00795B89" w:rsidP="006C6762">
            <w:pPr>
              <w:spacing w:after="20"/>
              <w:rPr>
                <w:sz w:val="16"/>
                <w:szCs w:val="16"/>
              </w:rPr>
            </w:pPr>
            <w:r w:rsidRPr="008974B8">
              <w:rPr>
                <w:b/>
                <w:bCs/>
                <w:sz w:val="16"/>
                <w:szCs w:val="16"/>
              </w:rPr>
              <w:t>C3:50.000</w:t>
            </w:r>
            <w:r w:rsidRPr="008974B8">
              <w:rPr>
                <w:sz w:val="16"/>
                <w:szCs w:val="16"/>
              </w:rPr>
              <w:t xml:space="preserve"> – közepes, kevéssé gondos használat (pl. lakásbejárati ajtók, lakossági tárolók ajtói)</w:t>
            </w:r>
          </w:p>
          <w:p w:rsidR="00795B89" w:rsidRPr="008974B8" w:rsidRDefault="00795B89" w:rsidP="006C6762">
            <w:pPr>
              <w:spacing w:after="20"/>
              <w:rPr>
                <w:sz w:val="16"/>
                <w:szCs w:val="16"/>
              </w:rPr>
            </w:pPr>
            <w:r w:rsidRPr="008974B8">
              <w:rPr>
                <w:b/>
                <w:bCs/>
                <w:sz w:val="16"/>
                <w:szCs w:val="16"/>
              </w:rPr>
              <w:t>C4:100.000</w:t>
            </w:r>
            <w:r w:rsidRPr="008974B8">
              <w:rPr>
                <w:sz w:val="16"/>
                <w:szCs w:val="16"/>
              </w:rPr>
              <w:t xml:space="preserve"> – gyakori, kevéssé gondos használat</w:t>
            </w:r>
          </w:p>
          <w:p w:rsidR="00795B89" w:rsidRPr="008974B8" w:rsidRDefault="00795B89" w:rsidP="006C6762">
            <w:pPr>
              <w:spacing w:after="20"/>
              <w:rPr>
                <w:sz w:val="16"/>
                <w:szCs w:val="16"/>
              </w:rPr>
            </w:pPr>
            <w:r w:rsidRPr="008974B8">
              <w:rPr>
                <w:b/>
                <w:bCs/>
                <w:sz w:val="16"/>
                <w:szCs w:val="16"/>
              </w:rPr>
              <w:t>C5:200.000</w:t>
            </w:r>
            <w:r w:rsidRPr="008974B8">
              <w:rPr>
                <w:sz w:val="16"/>
                <w:szCs w:val="16"/>
              </w:rPr>
              <w:t xml:space="preserve"> – igen gyakori használat (pl. középületek) 200.000 fölött várható nyitási ciklusok – más megoldás!</w:t>
            </w:r>
          </w:p>
        </w:tc>
      </w:tr>
    </w:tbl>
    <w:p w:rsidR="00795B89" w:rsidRPr="001B28FD" w:rsidRDefault="00795B89" w:rsidP="00795B89">
      <w:pPr>
        <w:spacing w:after="20"/>
      </w:pPr>
    </w:p>
    <w:p w:rsidR="00795B89" w:rsidRPr="00795B89" w:rsidRDefault="00795B89" w:rsidP="00795B89">
      <w:pPr>
        <w:spacing w:after="20"/>
        <w:rPr>
          <w:rFonts w:ascii="Arial" w:hAnsi="Arial" w:cs="Arial"/>
        </w:rPr>
      </w:pPr>
      <w:r w:rsidRPr="00795B89">
        <w:rPr>
          <w:rFonts w:ascii="Arial" w:hAnsi="Arial" w:cs="Arial"/>
        </w:rPr>
        <w:t>A beépítésre kerülő ajtónak a tervezett besorolása: C2:10.000, mivel ritka igénybevételre tervezett, jellemzően a karbantartások során ezt az ajtót gondosan fogják használni.</w:t>
      </w:r>
    </w:p>
    <w:p w:rsidR="00795B89" w:rsidRPr="00795B89" w:rsidRDefault="00795B89" w:rsidP="00795B89">
      <w:pPr>
        <w:spacing w:after="20"/>
        <w:rPr>
          <w:rFonts w:ascii="Arial" w:hAnsi="Arial" w:cs="Arial"/>
        </w:rPr>
      </w:pPr>
    </w:p>
    <w:p w:rsidR="00795B89" w:rsidRPr="00795B89" w:rsidRDefault="00795B89" w:rsidP="00795B89">
      <w:pPr>
        <w:rPr>
          <w:rFonts w:ascii="Arial" w:hAnsi="Arial" w:cs="Arial"/>
        </w:rPr>
      </w:pPr>
      <w:r w:rsidRPr="00795B89">
        <w:rPr>
          <w:rFonts w:ascii="Arial" w:hAnsi="Arial" w:cs="Arial"/>
        </w:rPr>
        <w:t>Az épületben menekülési útvonal nem kerül kialakításra, így az alkalmazott burkolatokra, hő- és hangszigetelésre tűzvédelmi osztály- és tűzállósági teljesítmény-követelmény nem vonatkozik.</w:t>
      </w:r>
    </w:p>
    <w:p w:rsidR="00795B89" w:rsidRPr="00795B89" w:rsidRDefault="00795B89" w:rsidP="00795B89">
      <w:pPr>
        <w:rPr>
          <w:rFonts w:ascii="Arial" w:hAnsi="Arial" w:cs="Arial"/>
        </w:rPr>
      </w:pPr>
    </w:p>
    <w:p w:rsidR="00795B89" w:rsidRPr="00795B89" w:rsidRDefault="00795B89" w:rsidP="00795B89">
      <w:pPr>
        <w:pStyle w:val="NormlWeb"/>
        <w:spacing w:before="0" w:beforeAutospacing="0" w:after="20" w:afterAutospacing="0"/>
        <w:rPr>
          <w:rFonts w:ascii="Arial" w:hAnsi="Arial" w:cs="Arial"/>
        </w:rPr>
      </w:pPr>
      <w:r w:rsidRPr="00795B89">
        <w:rPr>
          <w:rFonts w:ascii="Arial" w:hAnsi="Arial" w:cs="Arial"/>
        </w:rPr>
        <w:t>A kivitelezés során - az építési termék építménybe történő betervezésének és beépítésének, ennek során a teljesítmény igazolásának részletes szabályairól szóló 275/2013. (VII. 16.) Korm. rendeletben meghatározottak szerint - az építési termék az építménybe akkor építhető be, ha termék teljesítményét a harmonizált szabvány által, vagy európai műszaki értékeléssel szabályozott termékek esetében a 305/2011/EU európai parlamenti és tanácsi rendelet rendelkezéseinek megfelelően, vagy a termékre vonatkozó harmonizált európai szabvány hiányában teljesítménynyilatkozat igazolja.</w:t>
      </w:r>
    </w:p>
    <w:p w:rsidR="00795B89" w:rsidRDefault="00795B89" w:rsidP="00795B89">
      <w:pPr>
        <w:pStyle w:val="NormlWeb"/>
        <w:spacing w:before="0" w:beforeAutospacing="0" w:after="20" w:afterAutospacing="0"/>
        <w:rPr>
          <w:rFonts w:ascii="Arial" w:hAnsi="Arial" w:cs="Arial"/>
        </w:rPr>
      </w:pPr>
    </w:p>
    <w:p w:rsidR="00795B89" w:rsidRDefault="00795B89" w:rsidP="00795B89">
      <w:pPr>
        <w:pStyle w:val="NormlWeb"/>
        <w:spacing w:before="0" w:beforeAutospacing="0" w:after="20" w:afterAutospacing="0"/>
        <w:rPr>
          <w:rFonts w:ascii="Arial" w:hAnsi="Arial" w:cs="Arial"/>
        </w:rPr>
      </w:pPr>
    </w:p>
    <w:p w:rsidR="00795B89" w:rsidRPr="00795B89" w:rsidRDefault="00795B89" w:rsidP="00795B89">
      <w:pPr>
        <w:spacing w:after="20"/>
        <w:rPr>
          <w:rFonts w:ascii="Arial" w:hAnsi="Arial" w:cs="Arial"/>
          <w:color w:val="000000"/>
        </w:rPr>
      </w:pPr>
      <w:r w:rsidRPr="00795B89">
        <w:rPr>
          <w:rFonts w:ascii="Arial" w:hAnsi="Arial" w:cs="Arial"/>
          <w:color w:val="000000"/>
        </w:rPr>
        <w:t xml:space="preserve">A teljesítménynyilatkozatot nem harmonizált európai szabvány, nemzetközi szabvány, magyar szabvány, vagy 2013. július 1-je előtt kiadott hatályos építőipari műszaki engedély alapján is ki lehet állítani, ha a felsorolt dokumentumokból az építési termék tervezett felhasználása szempontjából lényeges, alapvető </w:t>
      </w:r>
      <w:r w:rsidRPr="00795B89">
        <w:rPr>
          <w:rFonts w:ascii="Arial" w:hAnsi="Arial" w:cs="Arial"/>
          <w:color w:val="000000"/>
        </w:rPr>
        <w:lastRenderedPageBreak/>
        <w:t>termékjellemzők, ezek vizsgálatának, értékelésének módszerei és a teljesítményállandóság értékelésének és ellenőrzésének a 305/2011/EU európai parlamenti és tanácsi rendelet V. melléklete szerinti rendszere meghatározható.</w:t>
      </w:r>
    </w:p>
    <w:p w:rsidR="00795B89" w:rsidRPr="00795B89" w:rsidRDefault="00795B89" w:rsidP="00795B89">
      <w:pPr>
        <w:spacing w:after="20"/>
        <w:rPr>
          <w:rFonts w:ascii="Arial" w:hAnsi="Arial" w:cs="Arial"/>
          <w:color w:val="000000"/>
        </w:rPr>
      </w:pPr>
    </w:p>
    <w:p w:rsidR="00795B89" w:rsidRPr="00795B89" w:rsidRDefault="00795B89" w:rsidP="00795B89">
      <w:pPr>
        <w:spacing w:after="20"/>
        <w:rPr>
          <w:rFonts w:ascii="Arial" w:hAnsi="Arial" w:cs="Arial"/>
          <w:color w:val="000000"/>
        </w:rPr>
      </w:pPr>
      <w:r w:rsidRPr="00795B89">
        <w:rPr>
          <w:rFonts w:ascii="Arial" w:hAnsi="Arial" w:cs="Arial"/>
          <w:color w:val="000000"/>
        </w:rPr>
        <w:t>Ha a fenti dokumentumok egyike, vagy a dokumentumok összessége nem szolgáltat elegendő információt a teljesítménynyilatkozat kiállításához, a gyártó – választása szerint – a rendelkezésére álló dokumentumok felhasználásával, belföldi célú betervezés és beépítés céljából nemzeti műszaki értékelést, vagy a 305/2011/EU európai parlamenti és tanácsi rendeletben előírt eljárás szerint az EGT területén történő felhasználás céljából, európai műszaki értékelést készíttethet.</w:t>
      </w:r>
    </w:p>
    <w:p w:rsidR="00795B89" w:rsidRPr="00795B89" w:rsidRDefault="00795B89" w:rsidP="00795B89">
      <w:pPr>
        <w:rPr>
          <w:rFonts w:ascii="Arial" w:hAnsi="Arial" w:cs="Arial"/>
          <w:bCs/>
        </w:rPr>
      </w:pPr>
    </w:p>
    <w:p w:rsidR="00795B89" w:rsidRPr="00795B89" w:rsidRDefault="00795B89" w:rsidP="00795B89">
      <w:pPr>
        <w:rPr>
          <w:rFonts w:ascii="Arial" w:hAnsi="Arial" w:cs="Arial"/>
          <w:bCs/>
        </w:rPr>
      </w:pPr>
      <w:r w:rsidRPr="00795B89">
        <w:rPr>
          <w:rFonts w:ascii="Arial" w:hAnsi="Arial" w:cs="Arial"/>
          <w:bCs/>
        </w:rPr>
        <w:t>Ha az építési termék egyedi, az építkezés helyszínén gyártott, vagy műemlék építménybe beépített, illetve bontott, hagyományos vagy természetes építési termék és a gyártó által önkéntesen kiadott teljesítménynyilatkozat nem áll rendelkezésre, az építési termék akkor építhető be, ha a beépítéséért felelős műszaki vezető az építési naplóban tett nyilatkozatával igazolja, hogy az építési termék tervezett beépítése megfelel az épített környezet alakításáról és védelméről szóló 1997. évi LXXVIII. törvény 41. §-ában foglaltaknak. </w:t>
      </w:r>
    </w:p>
    <w:p w:rsidR="00795B89" w:rsidRPr="00795B89" w:rsidRDefault="00795B89" w:rsidP="00795B89">
      <w:pPr>
        <w:rPr>
          <w:rFonts w:ascii="Arial" w:hAnsi="Arial" w:cs="Arial"/>
          <w:b/>
          <w:bCs/>
          <w:u w:val="single"/>
        </w:rPr>
      </w:pPr>
    </w:p>
    <w:p w:rsidR="00795B89" w:rsidRPr="00795B89" w:rsidRDefault="00795B89" w:rsidP="00795B89">
      <w:pPr>
        <w:rPr>
          <w:rFonts w:ascii="Arial" w:hAnsi="Arial" w:cs="Arial"/>
          <w:b/>
          <w:bCs/>
          <w:u w:val="single"/>
        </w:rPr>
      </w:pPr>
      <w:r w:rsidRPr="00795B89">
        <w:rPr>
          <w:rFonts w:ascii="Arial" w:hAnsi="Arial" w:cs="Arial"/>
          <w:b/>
          <w:bCs/>
          <w:u w:val="single"/>
        </w:rPr>
        <w:t>A tűzszakaszok kialakítása:</w:t>
      </w:r>
    </w:p>
    <w:p w:rsidR="00795B89" w:rsidRPr="00795B89" w:rsidRDefault="00795B89" w:rsidP="00795B89">
      <w:pPr>
        <w:rPr>
          <w:rFonts w:ascii="Arial" w:hAnsi="Arial" w:cs="Arial"/>
        </w:rPr>
      </w:pPr>
    </w:p>
    <w:p w:rsidR="00795B89" w:rsidRPr="00795B89" w:rsidRDefault="00795B89" w:rsidP="00795B89">
      <w:pPr>
        <w:spacing w:after="20"/>
        <w:rPr>
          <w:rFonts w:ascii="Arial" w:hAnsi="Arial" w:cs="Arial"/>
        </w:rPr>
      </w:pPr>
      <w:r w:rsidRPr="00795B89">
        <w:rPr>
          <w:rFonts w:ascii="Arial" w:hAnsi="Arial" w:cs="Arial"/>
        </w:rPr>
        <w:t xml:space="preserve">Az épület alapterülete </w:t>
      </w:r>
      <w:r w:rsidRPr="00795B89">
        <w:rPr>
          <w:rFonts w:ascii="Arial" w:hAnsi="Arial" w:cs="Arial"/>
          <w:lang w:val="en-GB"/>
        </w:rPr>
        <w:t>505,33</w:t>
      </w:r>
      <w:r w:rsidRPr="00795B89">
        <w:rPr>
          <w:rFonts w:ascii="Arial" w:hAnsi="Arial" w:cs="Arial"/>
          <w:b/>
        </w:rPr>
        <w:t xml:space="preserve"> </w:t>
      </w:r>
      <w:r w:rsidRPr="00795B89">
        <w:rPr>
          <w:rFonts w:ascii="Arial" w:hAnsi="Arial" w:cs="Arial"/>
        </w:rPr>
        <w:t>m</w:t>
      </w:r>
      <w:r w:rsidRPr="00795B89">
        <w:rPr>
          <w:rFonts w:ascii="Arial" w:hAnsi="Arial" w:cs="Arial"/>
          <w:vertAlign w:val="superscript"/>
        </w:rPr>
        <w:t>2</w:t>
      </w:r>
      <w:r w:rsidRPr="00795B89">
        <w:rPr>
          <w:rFonts w:ascii="Arial" w:hAnsi="Arial" w:cs="Arial"/>
        </w:rPr>
        <w:t>. Az épületben beépítésre kerülnek tűzgátló alapszerkezetek, de az épületet egy tűzszakasznak tekintjük. Az OTSZ 5. melléklet 3. táblázat alapján az AK osztályba tartozó többszintes ipari rendeltetésű tűzszakasz (tűzjelző és oltó berendezés nélkül) maximális alapterülete 7.000 m</w:t>
      </w:r>
      <w:r w:rsidRPr="00795B89">
        <w:rPr>
          <w:rFonts w:ascii="Arial" w:hAnsi="Arial" w:cs="Arial"/>
          <w:vertAlign w:val="superscript"/>
        </w:rPr>
        <w:t>2</w:t>
      </w:r>
      <w:r w:rsidRPr="00795B89">
        <w:rPr>
          <w:rFonts w:ascii="Arial" w:hAnsi="Arial" w:cs="Arial"/>
        </w:rPr>
        <w:t xml:space="preserve"> lehet, így a kialakítás megfelel.</w:t>
      </w:r>
    </w:p>
    <w:p w:rsidR="00795B89" w:rsidRPr="00795B89" w:rsidRDefault="00795B89" w:rsidP="00795B89">
      <w:pPr>
        <w:spacing w:after="20"/>
        <w:rPr>
          <w:rFonts w:ascii="Arial" w:hAnsi="Arial" w:cs="Arial"/>
          <w:bCs/>
          <w:iCs/>
        </w:rPr>
      </w:pPr>
    </w:p>
    <w:p w:rsidR="00795B89" w:rsidRPr="00795B89" w:rsidRDefault="00795B89" w:rsidP="00795B89">
      <w:pPr>
        <w:rPr>
          <w:rFonts w:ascii="Arial" w:hAnsi="Arial" w:cs="Arial"/>
          <w:b/>
          <w:bCs/>
          <w:u w:val="single"/>
        </w:rPr>
      </w:pPr>
      <w:r w:rsidRPr="00795B89">
        <w:rPr>
          <w:rFonts w:ascii="Arial" w:hAnsi="Arial" w:cs="Arial"/>
          <w:b/>
          <w:bCs/>
          <w:u w:val="single"/>
        </w:rPr>
        <w:t>Tűztávolságra, elhelyezésre vonatkozó adatok:</w:t>
      </w:r>
    </w:p>
    <w:p w:rsidR="00795B89" w:rsidRPr="00795B89" w:rsidRDefault="00795B89" w:rsidP="00795B89">
      <w:pPr>
        <w:rPr>
          <w:rFonts w:ascii="Arial" w:hAnsi="Arial" w:cs="Arial"/>
          <w:bCs/>
        </w:rPr>
      </w:pPr>
    </w:p>
    <w:p w:rsidR="00795B89" w:rsidRPr="00795B89" w:rsidRDefault="00795B89" w:rsidP="00795B89">
      <w:pPr>
        <w:rPr>
          <w:rFonts w:ascii="Arial" w:hAnsi="Arial" w:cs="Arial"/>
        </w:rPr>
      </w:pPr>
      <w:r w:rsidRPr="00795B89">
        <w:rPr>
          <w:rFonts w:ascii="Arial" w:hAnsi="Arial" w:cs="Arial"/>
        </w:rPr>
        <w:t>Az átalakítással érintett épület mértékadó kockázati osztálya AK, a szomszédos épületek lakó rendeltetésűek, amelyeknek a mértékadó kockázati osztálya AK-KK.</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OTSZ-ben meghatározott minimális tűztávolságok a következők:</w:t>
      </w:r>
    </w:p>
    <w:tbl>
      <w:tblPr>
        <w:tblW w:w="9688" w:type="dxa"/>
        <w:tblCellMar>
          <w:top w:w="15" w:type="dxa"/>
          <w:left w:w="15" w:type="dxa"/>
          <w:bottom w:w="15" w:type="dxa"/>
          <w:right w:w="15" w:type="dxa"/>
        </w:tblCellMar>
        <w:tblLook w:val="00A0"/>
      </w:tblPr>
      <w:tblGrid>
        <w:gridCol w:w="3152"/>
        <w:gridCol w:w="2061"/>
        <w:gridCol w:w="1459"/>
        <w:gridCol w:w="1459"/>
        <w:gridCol w:w="1557"/>
      </w:tblGrid>
      <w:tr w:rsidR="00795B89" w:rsidRPr="00245CD0" w:rsidTr="006C6762">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245CD0" w:rsidRDefault="00795B89" w:rsidP="006C6762">
            <w:pPr>
              <w:spacing w:before="60" w:after="60"/>
            </w:pPr>
            <w:r w:rsidRPr="00245CD0">
              <w:rPr>
                <w:sz w:val="18"/>
                <w:szCs w:val="18"/>
              </w:rPr>
              <w:t>A épület mértékadó kockázati osztálya</w:t>
            </w:r>
          </w:p>
        </w:tc>
        <w:tc>
          <w:tcPr>
            <w:tcW w:w="0" w:type="auto"/>
            <w:gridSpan w:val="4"/>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245CD0" w:rsidRDefault="00795B89" w:rsidP="006C6762">
            <w:pPr>
              <w:spacing w:before="60" w:after="60"/>
              <w:jc w:val="center"/>
            </w:pPr>
            <w:r w:rsidRPr="00245CD0">
              <w:rPr>
                <w:sz w:val="18"/>
                <w:szCs w:val="18"/>
              </w:rPr>
              <w:t>A és B épületek közötti tűztávolság (m), ha B épület mértékadó kockázati osztálya</w:t>
            </w:r>
          </w:p>
        </w:tc>
      </w:tr>
      <w:tr w:rsidR="00795B89" w:rsidRPr="00245CD0" w:rsidTr="006C6762">
        <w:tc>
          <w:tcPr>
            <w:tcW w:w="0" w:type="auto"/>
            <w:vMerge/>
            <w:tcBorders>
              <w:top w:val="single" w:sz="6" w:space="0" w:color="000000"/>
              <w:left w:val="single" w:sz="6" w:space="0" w:color="000000"/>
              <w:bottom w:val="single" w:sz="6" w:space="0" w:color="000000"/>
              <w:right w:val="single" w:sz="6" w:space="0" w:color="000000"/>
            </w:tcBorders>
            <w:vAlign w:val="center"/>
          </w:tcPr>
          <w:p w:rsidR="00795B89" w:rsidRPr="00245CD0" w:rsidRDefault="00795B89" w:rsidP="006C6762"/>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730BD6" w:rsidRDefault="00795B89" w:rsidP="006C6762">
            <w:pPr>
              <w:spacing w:before="60" w:after="60"/>
              <w:jc w:val="center"/>
            </w:pPr>
            <w:r w:rsidRPr="00730BD6">
              <w:rPr>
                <w:sz w:val="18"/>
                <w:szCs w:val="18"/>
              </w:rPr>
              <w:t>NAK</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3515C7" w:rsidRDefault="00795B89" w:rsidP="006C6762">
            <w:pPr>
              <w:spacing w:before="60" w:after="60"/>
              <w:jc w:val="center"/>
              <w:rPr>
                <w:sz w:val="16"/>
                <w:szCs w:val="16"/>
              </w:rPr>
            </w:pPr>
            <w:r w:rsidRPr="003515C7">
              <w:rPr>
                <w:sz w:val="16"/>
                <w:szCs w:val="16"/>
              </w:rPr>
              <w:t>AK</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3515C7" w:rsidRDefault="00795B89" w:rsidP="006C6762">
            <w:pPr>
              <w:spacing w:before="60" w:after="60"/>
              <w:jc w:val="center"/>
              <w:rPr>
                <w:sz w:val="16"/>
                <w:szCs w:val="16"/>
              </w:rPr>
            </w:pPr>
            <w:r w:rsidRPr="003515C7">
              <w:rPr>
                <w:sz w:val="16"/>
                <w:szCs w:val="16"/>
              </w:rPr>
              <w:t>KK</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3515C7" w:rsidRDefault="00795B89" w:rsidP="006C6762">
            <w:pPr>
              <w:spacing w:before="60" w:after="60"/>
              <w:jc w:val="center"/>
              <w:rPr>
                <w:sz w:val="16"/>
                <w:szCs w:val="16"/>
              </w:rPr>
            </w:pPr>
            <w:r w:rsidRPr="003515C7">
              <w:rPr>
                <w:sz w:val="16"/>
                <w:szCs w:val="16"/>
              </w:rPr>
              <w:t>MK</w:t>
            </w:r>
          </w:p>
        </w:tc>
      </w:tr>
      <w:tr w:rsidR="00795B89" w:rsidRPr="00245CD0" w:rsidTr="006C6762">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3515C7" w:rsidRDefault="00795B89" w:rsidP="006C6762">
            <w:pPr>
              <w:spacing w:before="60" w:after="60"/>
              <w:jc w:val="center"/>
              <w:rPr>
                <w:sz w:val="16"/>
                <w:szCs w:val="16"/>
              </w:rPr>
            </w:pPr>
            <w:r>
              <w:rPr>
                <w:sz w:val="16"/>
                <w:szCs w:val="16"/>
              </w:rPr>
              <w:t>A</w:t>
            </w:r>
            <w:r w:rsidRPr="003515C7">
              <w:rPr>
                <w:sz w:val="16"/>
                <w:szCs w:val="16"/>
              </w:rPr>
              <w:t>K</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3515C7" w:rsidRDefault="00795B89" w:rsidP="006C6762">
            <w:pPr>
              <w:spacing w:before="60" w:after="60"/>
              <w:jc w:val="center"/>
              <w:rPr>
                <w:sz w:val="16"/>
                <w:szCs w:val="16"/>
              </w:rPr>
            </w:pPr>
            <w:r>
              <w:rPr>
                <w:sz w:val="16"/>
                <w:szCs w:val="16"/>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3515C7" w:rsidRDefault="00795B89" w:rsidP="006C6762">
            <w:pPr>
              <w:spacing w:before="60" w:after="60"/>
              <w:jc w:val="center"/>
              <w:rPr>
                <w:sz w:val="16"/>
                <w:szCs w:val="16"/>
              </w:rPr>
            </w:pPr>
            <w:r>
              <w:rPr>
                <w:sz w:val="16"/>
                <w:szCs w:val="16"/>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3515C7" w:rsidRDefault="00795B89" w:rsidP="006C6762">
            <w:pPr>
              <w:spacing w:before="60" w:after="60"/>
              <w:jc w:val="center"/>
              <w:rPr>
                <w:sz w:val="16"/>
                <w:szCs w:val="16"/>
              </w:rPr>
            </w:pPr>
            <w:r>
              <w:rPr>
                <w:sz w:val="16"/>
                <w:szCs w:val="16"/>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3515C7" w:rsidRDefault="00795B89" w:rsidP="006C6762">
            <w:pPr>
              <w:spacing w:before="60" w:after="60"/>
              <w:jc w:val="center"/>
              <w:rPr>
                <w:sz w:val="16"/>
                <w:szCs w:val="16"/>
              </w:rPr>
            </w:pPr>
            <w:r>
              <w:rPr>
                <w:sz w:val="16"/>
                <w:szCs w:val="16"/>
              </w:rPr>
              <w:t>8</w:t>
            </w:r>
          </w:p>
        </w:tc>
      </w:tr>
    </w:tbl>
    <w:p w:rsidR="00795B89" w:rsidRDefault="00795B89" w:rsidP="00795B89"/>
    <w:p w:rsidR="00795B89" w:rsidRPr="00795B89" w:rsidRDefault="00795B89" w:rsidP="00795B89">
      <w:pPr>
        <w:spacing w:after="20"/>
        <w:rPr>
          <w:rFonts w:ascii="Arial" w:hAnsi="Arial" w:cs="Arial"/>
        </w:rPr>
      </w:pPr>
      <w:r w:rsidRPr="00795B89">
        <w:rPr>
          <w:rFonts w:ascii="Arial" w:hAnsi="Arial" w:cs="Arial"/>
        </w:rPr>
        <w:t>A kazánház épülete meglévő, azon a tűztávolságot hátrányosan befolyásoló átalakítások nem történnek, annak a szomszédos épületektől a távolsága minden irányban megfelel az előírt tűztávolság követelményeknek.</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tervezett és a meglévő épületek elhelyezkedését a helyszínrajz tartalmazza.</w:t>
      </w:r>
    </w:p>
    <w:p w:rsidR="005253B4" w:rsidRDefault="005253B4">
      <w:pPr>
        <w:rPr>
          <w:rFonts w:ascii="Arial" w:hAnsi="Arial" w:cs="Arial"/>
        </w:rPr>
      </w:pPr>
      <w:r>
        <w:rPr>
          <w:rFonts w:ascii="Arial" w:hAnsi="Arial" w:cs="Arial"/>
        </w:rPr>
        <w:br w:type="page"/>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A hő és füst elleni védelem kialakítása:</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épület területén nem kell kialakítani hő- és füstelvezető berendezést.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b/>
          <w:bCs/>
          <w:u w:val="single"/>
        </w:rPr>
        <w:t>Hasadó vagy hasadó-nyíló felületek (gázkazánház):</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 xml:space="preserve">A kazánház gázrobbanás védelme jelenleg hasadó felülettel megoldott, azonban a kazánházi rekonstrukció során a kazánházban, mint üvegezett felületként meglévő, hasadó felület megszűnik és helyébe hőszigetelt falpanel kerül. </w:t>
      </w:r>
    </w:p>
    <w:p w:rsidR="00795B89" w:rsidRPr="00795B89" w:rsidRDefault="00795B89" w:rsidP="00795B89">
      <w:pPr>
        <w:rPr>
          <w:rFonts w:ascii="Arial" w:hAnsi="Arial" w:cs="Arial"/>
        </w:rPr>
      </w:pPr>
    </w:p>
    <w:p w:rsidR="00795B89" w:rsidRPr="00795B89" w:rsidRDefault="00795B89" w:rsidP="00795B89">
      <w:pPr>
        <w:rPr>
          <w:rFonts w:ascii="Arial" w:hAnsi="Arial" w:cs="Arial"/>
          <w:iCs/>
        </w:rPr>
      </w:pPr>
      <w:r w:rsidRPr="00795B89">
        <w:rPr>
          <w:rFonts w:ascii="Arial" w:hAnsi="Arial" w:cs="Arial"/>
        </w:rPr>
        <w:t xml:space="preserve">A GMBSZ alapján </w:t>
      </w:r>
      <w:r w:rsidRPr="00795B89">
        <w:rPr>
          <w:rFonts w:ascii="Arial" w:hAnsi="Arial" w:cs="Arial"/>
          <w:iCs/>
        </w:rPr>
        <w:t>a legalább 140 kW egység- vagy (egy helyiségben) legalább 1400 kW együttes hőterhelésű gázfogyasztó készülék (készülékek) helyiségében – ha a fajlagos légtérterhelés 1100 W/m</w:t>
      </w:r>
      <w:r w:rsidRPr="00795B89">
        <w:rPr>
          <w:rFonts w:ascii="Arial" w:hAnsi="Arial" w:cs="Arial"/>
          <w:iCs/>
          <w:vertAlign w:val="superscript"/>
        </w:rPr>
        <w:t>3</w:t>
      </w:r>
      <w:r w:rsidRPr="00795B89">
        <w:rPr>
          <w:rFonts w:ascii="Arial" w:hAnsi="Arial" w:cs="Arial"/>
          <w:iCs/>
        </w:rPr>
        <w:t xml:space="preserve"> felett van – az esetleges robbanási helyzet kialakulásától, illetve hatásaitól védelemmel kell gondoskodni. Ez lehet gázkoncentráció érzékelő és beavatkozó készülék és azzal vezérelt vészszellőztető berendezés vagy hasadó-nyíló, illetve hasadó felület.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előírásoknak megfelelően a kazánházba gázveszély érzékelőket és vezérlő elektronikát telepítenek, amely a gázkoncentráció ARH 20 % értékénél vészjelzést ad és indítja a vészszellőzést. További gázkoncentráció növekedés esetén ARH 40% értéknél áramtalanítja a kazánház technológiai részét (kazánhelyiség), kivéve a robbanás biztos kivitelű vészvilágítást és vészszellőzést, zárja a kazánház technológiai részétől légmentesen elzárt gázmérő helyiségben elhelyezett gáz gyorszárat, ezzel megszüntetve a kazáncsarnok gáz betáplálását. A gázveszély érzékelés vezérlő elektronikája és a kazánhelyiség elektromos leválasztása a helyiség légterétől teljesen elzárt, újonnan kialakítandó elektromos kapcsoló helyiségbe kerül elhelyezésre.</w:t>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A tűzoltósági beavatkozási feltételek:</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OTSZ 65. §-a alapján nem szükséges tűzoltási felvonulási területet és utat biztosítani.</w:t>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Az épület megközelíthetősége:</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épület minden időjárási körülmények között tűzoltó járművekkel jól megközelíthető szilárd útburkolaton keresztül. Az épület megközelíthetőségét biztosító út alkalmas a tűzoltó gépjárművek nem rendszeres közlekedésére.</w:t>
      </w:r>
    </w:p>
    <w:p w:rsidR="00795B89" w:rsidRDefault="00795B89" w:rsidP="00795B89">
      <w:pPr>
        <w:rPr>
          <w:rFonts w:ascii="Arial" w:hAnsi="Arial" w:cs="Arial"/>
        </w:rPr>
      </w:pPr>
    </w:p>
    <w:p w:rsidR="005253B4" w:rsidRDefault="005253B4">
      <w:pPr>
        <w:rPr>
          <w:rFonts w:ascii="Arial" w:hAnsi="Arial" w:cs="Arial"/>
        </w:rPr>
      </w:pPr>
      <w:r>
        <w:rPr>
          <w:rFonts w:ascii="Arial" w:hAnsi="Arial" w:cs="Arial"/>
        </w:rPr>
        <w:br w:type="page"/>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A tűzoltáshoz szükséges oltóanyag:</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épület egy tűzszakaszból áll, a mértékadó tűzszakasz alapterülete: 505,33 m</w:t>
      </w:r>
      <w:r w:rsidRPr="00795B89">
        <w:rPr>
          <w:rFonts w:ascii="Arial" w:hAnsi="Arial" w:cs="Arial"/>
          <w:vertAlign w:val="superscript"/>
        </w:rPr>
        <w:t>2</w:t>
      </w:r>
      <w:r w:rsidRPr="00795B89">
        <w:rPr>
          <w:rFonts w:ascii="Arial" w:hAnsi="Arial" w:cs="Arial"/>
        </w:rPr>
        <w:t>. Az OTSZ 8. melléklet 1. táblázata alapján az alapterülethez szükséges oltóvíz-intenzitás 1.500 l/perc. Az építmény mértékadó kockázati osztálya: AK, így az oltóvizet legalább egy órán keresztül kell folyamatosan biztosítani.</w:t>
      </w:r>
    </w:p>
    <w:p w:rsidR="00795B89" w:rsidRPr="00795B89" w:rsidRDefault="00795B89" w:rsidP="00795B89">
      <w:pPr>
        <w:rPr>
          <w:rFonts w:ascii="Arial" w:hAnsi="Arial" w:cs="Arial"/>
          <w:color w:val="000000"/>
        </w:rPr>
      </w:pPr>
    </w:p>
    <w:p w:rsidR="00795B89" w:rsidRPr="00795B89" w:rsidRDefault="00795B89" w:rsidP="00795B89">
      <w:pPr>
        <w:suppressAutoHyphens/>
        <w:rPr>
          <w:rFonts w:ascii="Arial" w:hAnsi="Arial" w:cs="Arial"/>
          <w:lang w:eastAsia="ar-SA"/>
        </w:rPr>
      </w:pPr>
      <w:r w:rsidRPr="00795B89">
        <w:rPr>
          <w:rFonts w:ascii="Arial" w:hAnsi="Arial" w:cs="Arial"/>
          <w:lang w:eastAsia="ar-SA"/>
        </w:rPr>
        <w:t xml:space="preserve">Az oltóvizet a tervezett épület 100 méteres körzetében található föld feletti tűzcsapok biztosítják. </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OTSZ 79. § (1) bekezdése alapján vezetékes vízellátás esetén – a legfeljebb 14 méter legfelső padlószintmagasságú lakóépületek kivételével – fali tűzcsapot is kell létesíteni</w:t>
      </w:r>
    </w:p>
    <w:p w:rsidR="00795B89" w:rsidRPr="00795B89" w:rsidRDefault="00795B89" w:rsidP="00795B89">
      <w:pPr>
        <w:rPr>
          <w:rFonts w:ascii="Arial" w:hAnsi="Arial" w:cs="Arial"/>
        </w:rPr>
      </w:pPr>
      <w:r w:rsidRPr="00795B89">
        <w:rPr>
          <w:rFonts w:ascii="Arial" w:hAnsi="Arial" w:cs="Arial"/>
        </w:rPr>
        <w:t>a) ahol azt jogszabály előírja,</w:t>
      </w:r>
    </w:p>
    <w:p w:rsidR="00795B89" w:rsidRPr="00795B89" w:rsidRDefault="00795B89" w:rsidP="00795B89">
      <w:pPr>
        <w:rPr>
          <w:rFonts w:ascii="Arial" w:hAnsi="Arial" w:cs="Arial"/>
        </w:rPr>
      </w:pPr>
      <w:r w:rsidRPr="00795B89">
        <w:rPr>
          <w:rFonts w:ascii="Arial" w:hAnsi="Arial" w:cs="Arial"/>
        </w:rPr>
        <w:t>b) egynél több szintes gépjárműtárolók esetében vagy</w:t>
      </w:r>
    </w:p>
    <w:p w:rsidR="00795B89" w:rsidRPr="00795B89" w:rsidRDefault="00795B89" w:rsidP="00795B89">
      <w:pPr>
        <w:rPr>
          <w:rFonts w:ascii="Arial" w:hAnsi="Arial" w:cs="Arial"/>
        </w:rPr>
      </w:pPr>
      <w:r w:rsidRPr="00795B89">
        <w:rPr>
          <w:rFonts w:ascii="Arial" w:hAnsi="Arial" w:cs="Arial"/>
        </w:rPr>
        <w:t>c) az MK osztályba tartozó 200 m</w:t>
      </w:r>
      <w:r w:rsidRPr="00795B89">
        <w:rPr>
          <w:rFonts w:ascii="Arial" w:hAnsi="Arial" w:cs="Arial"/>
          <w:vertAlign w:val="superscript"/>
        </w:rPr>
        <w:t>2</w:t>
      </w:r>
      <w:r w:rsidRPr="00795B89">
        <w:rPr>
          <w:rFonts w:ascii="Arial" w:hAnsi="Arial" w:cs="Arial"/>
        </w:rPr>
        <w:t>-nél, a KK osztályba tartozó 500 m</w:t>
      </w:r>
      <w:r w:rsidRPr="00795B89">
        <w:rPr>
          <w:rFonts w:ascii="Arial" w:hAnsi="Arial" w:cs="Arial"/>
          <w:vertAlign w:val="superscript"/>
        </w:rPr>
        <w:t>2</w:t>
      </w:r>
      <w:r w:rsidRPr="00795B89">
        <w:rPr>
          <w:rFonts w:ascii="Arial" w:hAnsi="Arial" w:cs="Arial"/>
        </w:rPr>
        <w:t>-nél és az AK osztályba tartozó 1.000 m</w:t>
      </w:r>
      <w:r w:rsidRPr="00795B89">
        <w:rPr>
          <w:rFonts w:ascii="Arial" w:hAnsi="Arial" w:cs="Arial"/>
          <w:vertAlign w:val="superscript"/>
        </w:rPr>
        <w:t>2</w:t>
      </w:r>
      <w:r w:rsidRPr="00795B89">
        <w:rPr>
          <w:rFonts w:ascii="Arial" w:hAnsi="Arial" w:cs="Arial"/>
        </w:rPr>
        <w:t>-nél nagyobb alapterületű kockázati egységekben.</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jogszabályi előírás alapján fali tűzcsap hálózatot nem kell kiépíteni.</w:t>
      </w:r>
    </w:p>
    <w:p w:rsidR="00795B89" w:rsidRPr="00795B89" w:rsidRDefault="00795B89" w:rsidP="00795B89">
      <w:pPr>
        <w:rPr>
          <w:rFonts w:ascii="Arial" w:hAnsi="Arial" w:cs="Arial"/>
        </w:rPr>
      </w:pPr>
    </w:p>
    <w:p w:rsidR="00795B89" w:rsidRPr="00795B89" w:rsidRDefault="00795B89" w:rsidP="00795B89">
      <w:pPr>
        <w:rPr>
          <w:rFonts w:ascii="Arial" w:hAnsi="Arial" w:cs="Arial"/>
          <w:u w:val="single"/>
        </w:rPr>
      </w:pPr>
      <w:r w:rsidRPr="00795B89">
        <w:rPr>
          <w:rFonts w:ascii="Arial" w:hAnsi="Arial" w:cs="Arial"/>
          <w:b/>
          <w:bCs/>
          <w:u w:val="single"/>
        </w:rPr>
        <w:t>A kiürítésre, mentésre vonatkozó adatok:</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kazánok kezelőszemélyzetet nem igényelnek, így az épületben állandó munkahely nincs, csak esetenkénti ellenőrzés történik, mivel az üzemmenet automata rendszerű.</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 xml:space="preserve">Az épület AK kockázati osztályú, így az OTSZ 7. melléklet 1. táblázata alapján a megengedett legnagyobb útvonalhossz a szabadba (biztonságos térbe) menekülési útvonal nélkül 45 m. </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épületben a kazántérből 4 ajtón keresztül juthatunk közvetlenül a szabadba, illetve a tűzgátló ajtón keresztül is lesz lehetőség a szabadba jutni.</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legkedvezőtlenebb hely az emeleti 6,71 m</w:t>
      </w:r>
      <w:r w:rsidRPr="00795B89">
        <w:rPr>
          <w:rFonts w:ascii="Arial" w:hAnsi="Arial" w:cs="Arial"/>
          <w:vertAlign w:val="superscript"/>
        </w:rPr>
        <w:t>2</w:t>
      </w:r>
      <w:r w:rsidRPr="00795B89">
        <w:rPr>
          <w:rFonts w:ascii="Arial" w:hAnsi="Arial" w:cs="Arial"/>
        </w:rPr>
        <w:t>-es zuhanyzó helyiség, amely a szabadtérbe vezető ajtótól (8,0 m + 7,0 m + 3 x 4 m + 2 m) 29,0 méterre található, így a legkedvezőtlenebb esetben az útvonalhossza nem éri el a 45,0 métert.</w:t>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Az épületgépészeti berendezések tűzvédelmi követelményeinek teljesülése</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épületen belül az elbontásra kerülő kazánok alapjaira kerül a három darab új BOSCH (vagy azzal egyenértékű) gyártmányú egyenként 5 MW hőteljesítményű új melegvizes földgáztüzelésű gázkazán. A kazánok mindegyike ipari blokkégővel rendelkezik, a levegőt a kazánház belső teréből szívják. A kazánok mindegyike a kazánnal integrált kondenzációs füstgáz-hőhasznosítóval rendelkezik, a gazdaságos üzem miatt.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 xml:space="preserve">A kazánok égői a kazánház belső teréből szívják az égéshez szükséges levegőt, ezért a kazánház szellőztetésére és égéslevegő pótlására három darab új, külső tér légszívású, az egyes kazánokhoz rendelt termoventilátor kerül beépítésre a kazánok </w:t>
      </w:r>
      <w:r w:rsidRPr="00795B89">
        <w:rPr>
          <w:rFonts w:ascii="Arial" w:hAnsi="Arial" w:cs="Arial"/>
        </w:rPr>
        <w:lastRenderedPageBreak/>
        <w:t>előtti épület homlokfalába. A kazánok üzeme a hozzátartozó termoventilátor üzemével reteszelt.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termoventilátorok mellett, gázveszély esetére, vészszellőző ventilátorok is elhelyezésre kerülnek, hogy gázveszély esetén a kazánházba frisslevegőt juttassanak a kazánházban esetlegesen kialakuló gázkoncentráció hígítására.</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kazánok füstgázelvezetése a meglévő kazánonként meglévő kéményeken keresztül történik, az új kondenzációs üzemnek és szabványelőírásoknak megfelelő felújítás után. A kazánok kéményei az épületen belül vannak elhelyezve acélszerkezeti tartólábakon és a födémszerkezeten keresztül vezetik a füstgázt a szabadba. A füstgázelvezető rendszer felújítása során új saválló acél túlnyomásos kéménybekötő csövek és hangcsillapító elemek kerülnek elhelyezésre, a meglévő kéményjárat túlnyomásos kialakítású, saválló acél anyagú bélelése mellet. A füstgáz elvezető rendszerekhez új tisztító és vizsgáló nyílások, kondenzátum elvezetés és semlegesítő berendezés kerül telepítésre.</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kazánok rendszerbeillesztése során a meglévő hidraulikai rendszer a korszerű kondenzációs kazánüzemnek megfelelően átalakításra kerül. Külön kazán-, távvezetéki- és kondenzációs hőhasznosító körök kerülnek kialakításra, saját keringtető szivattyúkkal. A különálló körök között a nyomásmentes kapcsolatot az úgynevezett hidraulikus rövidzár teremti meg, amely ugyancsak a kazánházban kerül elhelyezésre.</w:t>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 xml:space="preserve">A villamos berendezések tűzvédelmi követelményeinek teljesülése: </w:t>
      </w:r>
    </w:p>
    <w:p w:rsidR="00795B89" w:rsidRPr="00795B89" w:rsidRDefault="00795B89" w:rsidP="00795B89">
      <w:pPr>
        <w:rPr>
          <w:rFonts w:ascii="Arial" w:hAnsi="Arial" w:cs="Arial"/>
        </w:rPr>
      </w:pPr>
    </w:p>
    <w:p w:rsidR="00795B89" w:rsidRPr="00795B89" w:rsidRDefault="00795B89" w:rsidP="00795B89">
      <w:pPr>
        <w:spacing w:after="20"/>
        <w:rPr>
          <w:rFonts w:ascii="Arial" w:hAnsi="Arial" w:cs="Arial"/>
        </w:rPr>
      </w:pPr>
      <w:r w:rsidRPr="00795B89">
        <w:rPr>
          <w:rFonts w:ascii="Arial" w:hAnsi="Arial" w:cs="Arial"/>
        </w:rPr>
        <w:t>Az építmény minden, központi normál és biztonsági tápforrásról táplált villamos berendezését, valamint a központi szünetmentes energiaforrásokat úgy kell kialakítani, hogy az építmény egésze egy helyről lekapcsolható legyen. Az épület külön lekapcsolásának lehetőségét biztosítani kell.</w:t>
      </w:r>
    </w:p>
    <w:p w:rsidR="00795B89" w:rsidRPr="00795B89" w:rsidRDefault="00795B89" w:rsidP="00795B89">
      <w:pPr>
        <w:spacing w:after="20"/>
        <w:rPr>
          <w:rFonts w:ascii="Arial" w:hAnsi="Arial" w:cs="Arial"/>
        </w:rPr>
      </w:pPr>
    </w:p>
    <w:p w:rsidR="00795B89" w:rsidRPr="00795B89" w:rsidRDefault="00795B89" w:rsidP="00795B89">
      <w:pPr>
        <w:spacing w:after="20"/>
        <w:rPr>
          <w:rFonts w:ascii="Arial" w:hAnsi="Arial" w:cs="Arial"/>
        </w:rPr>
      </w:pPr>
      <w:r w:rsidRPr="00795B89">
        <w:rPr>
          <w:rFonts w:ascii="Arial" w:hAnsi="Arial" w:cs="Arial"/>
        </w:rPr>
        <w:t>A tűzeseti lekapcsolást úgy kell kialakítani, hogy a tűzeseti beavatkozás során a tűzeseti fogyasztók csoportjai külön legyenek lekapcsolhatók, működtetésük az egyéb áramkörök lekapcsolása esetén is biztosítható legyen. A csoportosan elhelyezett villamos kapcsolók, főkapcsolók és túláramvédelmi készülékek rendeltetését, továbbá e kapcsolók ki- és bekapcsolt helyzetét jelölni kell.</w:t>
      </w:r>
    </w:p>
    <w:p w:rsidR="00795B89" w:rsidRPr="00795B89" w:rsidRDefault="00795B89" w:rsidP="00795B89">
      <w:pPr>
        <w:spacing w:after="20"/>
        <w:rPr>
          <w:rFonts w:ascii="Arial" w:hAnsi="Arial" w:cs="Arial"/>
        </w:rPr>
      </w:pPr>
    </w:p>
    <w:p w:rsidR="00795B89" w:rsidRPr="00795B89" w:rsidRDefault="00795B89" w:rsidP="00795B89">
      <w:pPr>
        <w:spacing w:after="20"/>
        <w:rPr>
          <w:rFonts w:ascii="Arial" w:hAnsi="Arial" w:cs="Arial"/>
        </w:rPr>
      </w:pPr>
      <w:r w:rsidRPr="00795B89">
        <w:rPr>
          <w:rFonts w:ascii="Arial" w:hAnsi="Arial" w:cs="Arial"/>
        </w:rPr>
        <w:t>Az épület elektromos hálózatának kivitelezését az érvényben lévő szabványok – az MSZ 2364. sz. szabványsorozat valamint az MSZ HD 60364 szabványsorozat – betartásával kell elvégezni. A hálózatot az MSZ HD 60364-6. sz. villamos berendezések időszakos ellenőrzése szabvány szerint felül kell vizsgálni, erről felülvizsgálati jelentést kell készíteni, amelyet a használatbavételi engedélyezési eljárás során be kell mutatni.</w:t>
      </w:r>
    </w:p>
    <w:p w:rsidR="00795B89" w:rsidRPr="00795B89" w:rsidRDefault="00795B89" w:rsidP="00795B89">
      <w:pPr>
        <w:rPr>
          <w:rFonts w:ascii="Arial" w:hAnsi="Arial" w:cs="Arial"/>
          <w:sz w:val="22"/>
          <w:szCs w:val="22"/>
        </w:rPr>
      </w:pPr>
    </w:p>
    <w:p w:rsidR="00795B89" w:rsidRPr="00795B89" w:rsidRDefault="00795B89" w:rsidP="00795B89">
      <w:pPr>
        <w:rPr>
          <w:rFonts w:ascii="Arial" w:hAnsi="Arial" w:cs="Arial"/>
          <w:color w:val="231F20"/>
        </w:rPr>
      </w:pPr>
      <w:r w:rsidRPr="00795B89">
        <w:rPr>
          <w:rFonts w:ascii="Arial" w:hAnsi="Arial" w:cs="Arial"/>
        </w:rPr>
        <w:t xml:space="preserve">A GMBSZ alapján </w:t>
      </w:r>
      <w:r w:rsidRPr="00795B89">
        <w:rPr>
          <w:rFonts w:ascii="Arial" w:hAnsi="Arial" w:cs="Arial"/>
          <w:color w:val="231F20"/>
        </w:rPr>
        <w:t>a gázkészülékkel azonos légtérben lévő villamos berendezések a helyiségen kívülről legyenek lekapcsolhatóak.</w:t>
      </w:r>
    </w:p>
    <w:p w:rsidR="00795B89" w:rsidRPr="00795B89" w:rsidRDefault="00795B89" w:rsidP="00795B89">
      <w:pPr>
        <w:rPr>
          <w:rFonts w:ascii="Arial" w:hAnsi="Arial" w:cs="Arial"/>
          <w:color w:val="231F20"/>
        </w:rPr>
      </w:pPr>
    </w:p>
    <w:p w:rsidR="00795B89" w:rsidRDefault="00795B89" w:rsidP="00795B89">
      <w:pPr>
        <w:rPr>
          <w:rFonts w:ascii="Arial" w:hAnsi="Arial" w:cs="Arial"/>
          <w:color w:val="231F20"/>
        </w:rPr>
      </w:pPr>
    </w:p>
    <w:p w:rsidR="00795B89" w:rsidRDefault="00795B89" w:rsidP="00795B89">
      <w:pPr>
        <w:rPr>
          <w:rFonts w:ascii="Arial" w:hAnsi="Arial" w:cs="Arial"/>
          <w:color w:val="231F20"/>
        </w:rPr>
      </w:pPr>
    </w:p>
    <w:p w:rsidR="00795B89" w:rsidRDefault="00795B89" w:rsidP="00795B89">
      <w:pPr>
        <w:rPr>
          <w:rFonts w:ascii="Arial" w:hAnsi="Arial" w:cs="Arial"/>
          <w:color w:val="231F20"/>
        </w:rPr>
      </w:pPr>
    </w:p>
    <w:p w:rsidR="00795B89" w:rsidRPr="00795B89" w:rsidRDefault="00795B89" w:rsidP="00795B89">
      <w:pPr>
        <w:rPr>
          <w:rFonts w:ascii="Arial" w:hAnsi="Arial" w:cs="Arial"/>
          <w:color w:val="231F20"/>
        </w:rPr>
      </w:pPr>
      <w:r w:rsidRPr="00795B89">
        <w:rPr>
          <w:rFonts w:ascii="Arial" w:hAnsi="Arial" w:cs="Arial"/>
          <w:color w:val="231F20"/>
        </w:rPr>
        <w:lastRenderedPageBreak/>
        <w:t>A gázérzékelővel vezérelt önműködő leválasztás esetében a főkapcsolótól független részleválasztó</w:t>
      </w:r>
      <w:r w:rsidRPr="00795B89">
        <w:rPr>
          <w:rFonts w:ascii="Arial" w:hAnsi="Arial" w:cs="Arial"/>
          <w:color w:val="231F20"/>
        </w:rPr>
        <w:br/>
        <w:t>kapcsolót kell létesíteni. A részleválasztás terjedjen ki az ellenőrzött légtérben lévő valamennyi</w:t>
      </w:r>
      <w:r w:rsidRPr="00795B89">
        <w:rPr>
          <w:rFonts w:ascii="Arial" w:hAnsi="Arial" w:cs="Arial"/>
          <w:color w:val="231F20"/>
        </w:rPr>
        <w:br/>
        <w:t>villamos berendezésre, kivéve: a vészszellőző berendezést, minden olyan villamos berendezést (például biztonsági világítás), amelynek önműködő leválasztását technológiai vagy biztonsági okok nem teszik lehetővé, az ellen őrzött légtérben elhelyezett, robbanás biztos kivitelű villamos berendezést.</w:t>
      </w:r>
    </w:p>
    <w:p w:rsidR="00795B89" w:rsidRPr="00795B89" w:rsidRDefault="00795B89" w:rsidP="00795B89">
      <w:pPr>
        <w:rPr>
          <w:rFonts w:ascii="Arial" w:hAnsi="Arial" w:cs="Arial"/>
          <w:color w:val="231F20"/>
        </w:rPr>
      </w:pPr>
    </w:p>
    <w:p w:rsidR="00795B89" w:rsidRPr="00795B89" w:rsidRDefault="00795B89" w:rsidP="00795B89">
      <w:pPr>
        <w:rPr>
          <w:rFonts w:ascii="Arial" w:hAnsi="Arial" w:cs="Arial"/>
          <w:color w:val="231F20"/>
        </w:rPr>
      </w:pPr>
      <w:r w:rsidRPr="00795B89">
        <w:rPr>
          <w:rFonts w:ascii="Arial" w:hAnsi="Arial" w:cs="Arial"/>
          <w:color w:val="231F20"/>
        </w:rPr>
        <w:t>Minden, a helyiségben levő – a részleválasztás után is feszültség alatt maradó – villamos berendezés robbanás biztos védelme feleljen meg az MSZ EN 60079-14 [Villamos gyártmányok robbanóképes gázközegben. Villamos berendezések létesítése robbanásveszélyes térségekben.] szabványnak vagy azzal egyenértékű műszaki megoldásnak.</w:t>
      </w:r>
    </w:p>
    <w:p w:rsidR="00795B89" w:rsidRPr="00795B89" w:rsidRDefault="00795B89" w:rsidP="00795B89">
      <w:pPr>
        <w:rPr>
          <w:rFonts w:ascii="Arial" w:hAnsi="Arial" w:cs="Arial"/>
          <w:color w:val="000000"/>
          <w:sz w:val="22"/>
          <w:szCs w:val="22"/>
        </w:rPr>
      </w:pPr>
    </w:p>
    <w:p w:rsidR="00795B89" w:rsidRPr="00795B89" w:rsidRDefault="00795B89" w:rsidP="00795B89">
      <w:pPr>
        <w:rPr>
          <w:rFonts w:ascii="Arial" w:hAnsi="Arial" w:cs="Arial"/>
          <w:b/>
          <w:bCs/>
          <w:u w:val="single"/>
        </w:rPr>
      </w:pPr>
      <w:r w:rsidRPr="00795B89">
        <w:rPr>
          <w:rFonts w:ascii="Arial" w:hAnsi="Arial" w:cs="Arial"/>
          <w:b/>
          <w:bCs/>
          <w:u w:val="single"/>
        </w:rPr>
        <w:t xml:space="preserve">A villámvédelmi berendezések tűzvédelmi követelményeinek teljesülése: </w:t>
      </w:r>
    </w:p>
    <w:p w:rsidR="00795B89" w:rsidRPr="00795B89" w:rsidRDefault="00795B89" w:rsidP="00795B89">
      <w:pPr>
        <w:rPr>
          <w:rFonts w:ascii="Arial" w:hAnsi="Arial" w:cs="Arial"/>
        </w:rPr>
      </w:pPr>
    </w:p>
    <w:p w:rsidR="00795B89" w:rsidRPr="00795B89" w:rsidRDefault="00795B89" w:rsidP="00795B89">
      <w:pPr>
        <w:spacing w:after="20"/>
        <w:rPr>
          <w:rFonts w:ascii="Arial" w:hAnsi="Arial" w:cs="Arial"/>
        </w:rPr>
      </w:pPr>
      <w:r w:rsidRPr="00795B89">
        <w:rPr>
          <w:rFonts w:ascii="Arial" w:hAnsi="Arial" w:cs="Arial"/>
        </w:rPr>
        <w:t>Az építmények villámcsapások hatásaival szembeni védelmét a rendeltetés figyelembevételével az emberi élet elvesztésének, a közszolgáltatás kiesésének és a kulturális örökség elvesztésének kockázata szempontjából kell biztosítani.</w:t>
      </w:r>
    </w:p>
    <w:p w:rsidR="00795B89" w:rsidRPr="00795B89" w:rsidRDefault="00795B89" w:rsidP="00795B89">
      <w:pPr>
        <w:spacing w:after="20"/>
        <w:rPr>
          <w:rFonts w:ascii="Arial" w:hAnsi="Arial" w:cs="Arial"/>
        </w:rPr>
      </w:pPr>
    </w:p>
    <w:p w:rsidR="00795B89" w:rsidRPr="00795B89" w:rsidRDefault="00795B89" w:rsidP="00795B89">
      <w:pPr>
        <w:spacing w:after="20"/>
        <w:rPr>
          <w:rFonts w:ascii="Arial" w:hAnsi="Arial" w:cs="Arial"/>
        </w:rPr>
      </w:pPr>
      <w:r w:rsidRPr="00795B89">
        <w:rPr>
          <w:rFonts w:ascii="Arial" w:hAnsi="Arial" w:cs="Arial"/>
        </w:rPr>
        <w:t>Új építménynél a villámcsapások hatásaival szembeni védelmet norma szerinti villámvédelemmel (jelölése: NV) kell biztosítani.</w:t>
      </w:r>
    </w:p>
    <w:p w:rsidR="00795B89" w:rsidRPr="00795B89" w:rsidRDefault="00795B89" w:rsidP="00795B89">
      <w:pPr>
        <w:spacing w:after="20"/>
        <w:rPr>
          <w:rFonts w:ascii="Arial" w:hAnsi="Arial" w:cs="Arial"/>
        </w:rPr>
      </w:pPr>
    </w:p>
    <w:p w:rsidR="00795B89" w:rsidRPr="00795B89" w:rsidRDefault="00795B89" w:rsidP="00795B89">
      <w:pPr>
        <w:rPr>
          <w:rFonts w:ascii="Arial" w:hAnsi="Arial" w:cs="Arial"/>
        </w:rPr>
      </w:pPr>
      <w:r w:rsidRPr="00795B89">
        <w:rPr>
          <w:rFonts w:ascii="Arial" w:hAnsi="Arial" w:cs="Arial"/>
        </w:rPr>
        <w:t>Az MSZ EN 62305-1:2006 villámvédelmi szabványlap tartalmazza a villámvédelmi berendezés kialakításával kapcsolatos követelményeket. Ez a lap határozza meg a négy lapból álló szabványsorozat hatályát, az előforduló fogalmi meghatározásokat, a villámparamétereket, a villámok okozta károkat, a villámvédelem műszaki és gazdasági szempontból szükséges kiépítésének kockázatelemzését, a védőintézkedéseket, az építmények és szolgáltatások védelmének alapvető kritériumait.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 xml:space="preserve">A szabvány hatálya kiterjed az építményekre, beleértve az azokban lévő berendezéseket, javakat, embereket, valamint az építményhez csatlakozó szolgáltatásokat is. </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szabvány definiálja az általa bevezetett kár, veszteség, kockázat, elviselhető kockázat, és a villámvédelmi szint fogalmát. Meghatározza a károk forrásait, ezekből meghatározza a veszteségek fajtáit, és kialakítja a kockázat és az elviselhető kockázat számításának módszerét. Az itt meghatározott fogalmak és módszerek képezik a kockázatelemzés alapját.</w:t>
      </w:r>
    </w:p>
    <w:p w:rsidR="00795B89" w:rsidRP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 xml:space="preserve">A szabvány négy alapvető kockázati tényezőt különböztet meg, amelyek maguk is több összetevőből jönnek létre. </w:t>
      </w:r>
    </w:p>
    <w:p w:rsidR="00795B89" w:rsidRPr="00795B89" w:rsidRDefault="00795B89" w:rsidP="00795B89">
      <w:pPr>
        <w:rPr>
          <w:rFonts w:ascii="Arial" w:hAnsi="Arial" w:cs="Arial"/>
        </w:rPr>
      </w:pPr>
      <w:r w:rsidRPr="00795B89">
        <w:rPr>
          <w:rFonts w:ascii="Arial" w:hAnsi="Arial" w:cs="Arial"/>
        </w:rPr>
        <w:t>A négy alapvető kockázati összetevő:</w:t>
      </w:r>
    </w:p>
    <w:p w:rsidR="00795B89" w:rsidRPr="00795B89" w:rsidRDefault="00795B89" w:rsidP="00795B89">
      <w:pPr>
        <w:rPr>
          <w:rFonts w:ascii="Arial" w:hAnsi="Arial" w:cs="Arial"/>
        </w:rPr>
      </w:pPr>
    </w:p>
    <w:p w:rsidR="00795B89" w:rsidRPr="00795B89" w:rsidRDefault="00795B89" w:rsidP="00795B89">
      <w:pPr>
        <w:rPr>
          <w:rFonts w:ascii="Arial" w:hAnsi="Arial" w:cs="Arial"/>
          <w:i/>
          <w:iCs/>
        </w:rPr>
      </w:pPr>
      <w:r w:rsidRPr="00795B89">
        <w:rPr>
          <w:rFonts w:ascii="Arial" w:hAnsi="Arial" w:cs="Arial"/>
          <w:i/>
          <w:iCs/>
        </w:rPr>
        <w:t>· R1 az emberi élet elvesztésének kockázata,</w:t>
      </w:r>
    </w:p>
    <w:p w:rsidR="00795B89" w:rsidRPr="00795B89" w:rsidRDefault="00795B89" w:rsidP="00795B89">
      <w:pPr>
        <w:rPr>
          <w:rFonts w:ascii="Arial" w:hAnsi="Arial" w:cs="Arial"/>
          <w:i/>
          <w:iCs/>
        </w:rPr>
      </w:pPr>
      <w:r w:rsidRPr="00795B89">
        <w:rPr>
          <w:rFonts w:ascii="Arial" w:hAnsi="Arial" w:cs="Arial"/>
          <w:i/>
          <w:iCs/>
        </w:rPr>
        <w:t>· R2 a szolgáltatások kiesésének kockázata,</w:t>
      </w:r>
    </w:p>
    <w:p w:rsidR="00795B89" w:rsidRPr="00795B89" w:rsidRDefault="00795B89" w:rsidP="00795B89">
      <w:pPr>
        <w:rPr>
          <w:rFonts w:ascii="Arial" w:hAnsi="Arial" w:cs="Arial"/>
        </w:rPr>
      </w:pPr>
      <w:r w:rsidRPr="00795B89">
        <w:rPr>
          <w:rFonts w:ascii="Arial" w:hAnsi="Arial" w:cs="Arial"/>
        </w:rPr>
        <w:t>· R3 a kulturális örökség, műkincsek elvesztésének kockázata,</w:t>
      </w:r>
    </w:p>
    <w:p w:rsidR="00795B89" w:rsidRPr="00795B89" w:rsidRDefault="00795B89" w:rsidP="00795B89">
      <w:pPr>
        <w:rPr>
          <w:rFonts w:ascii="Arial" w:hAnsi="Arial" w:cs="Arial"/>
          <w:i/>
          <w:iCs/>
        </w:rPr>
      </w:pPr>
      <w:r w:rsidRPr="00795B89">
        <w:rPr>
          <w:rFonts w:ascii="Arial" w:hAnsi="Arial" w:cs="Arial"/>
          <w:i/>
          <w:iCs/>
        </w:rPr>
        <w:t>· R4 a gazdasági értékek elvesztésének kockázata.</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kár forrásaként a kockázatelemzés az alábbi csoportokat különbözteti meg:</w:t>
      </w:r>
    </w:p>
    <w:p w:rsidR="00795B89" w:rsidRPr="00795B89" w:rsidRDefault="00795B89" w:rsidP="00795B89">
      <w:pPr>
        <w:rPr>
          <w:rFonts w:ascii="Arial" w:hAnsi="Arial" w:cs="Arial"/>
          <w:i/>
          <w:iCs/>
        </w:rPr>
      </w:pPr>
      <w:r w:rsidRPr="00795B89">
        <w:rPr>
          <w:rFonts w:ascii="Arial" w:hAnsi="Arial" w:cs="Arial"/>
          <w:i/>
          <w:iCs/>
        </w:rPr>
        <w:t>· S1 az építményt érő villámcsapás,</w:t>
      </w:r>
    </w:p>
    <w:p w:rsidR="00795B89" w:rsidRPr="00795B89" w:rsidRDefault="00795B89" w:rsidP="00795B89">
      <w:pPr>
        <w:rPr>
          <w:rFonts w:ascii="Arial" w:hAnsi="Arial" w:cs="Arial"/>
          <w:i/>
          <w:iCs/>
        </w:rPr>
      </w:pPr>
      <w:r w:rsidRPr="00795B89">
        <w:rPr>
          <w:rFonts w:ascii="Arial" w:hAnsi="Arial" w:cs="Arial"/>
          <w:i/>
          <w:iCs/>
        </w:rPr>
        <w:t>· S2 az építmény környezetét érő villámcsapás,</w:t>
      </w:r>
    </w:p>
    <w:p w:rsidR="00795B89" w:rsidRPr="00795B89" w:rsidRDefault="00795B89" w:rsidP="00795B89">
      <w:pPr>
        <w:rPr>
          <w:rFonts w:ascii="Arial" w:hAnsi="Arial" w:cs="Arial"/>
          <w:i/>
          <w:iCs/>
        </w:rPr>
      </w:pPr>
      <w:r w:rsidRPr="00795B89">
        <w:rPr>
          <w:rFonts w:ascii="Arial" w:hAnsi="Arial" w:cs="Arial"/>
          <w:i/>
          <w:iCs/>
        </w:rPr>
        <w:t>· S3 az építményhez csatlakozó szolgáltatást érő villámcsapás,</w:t>
      </w:r>
    </w:p>
    <w:p w:rsidR="00795B89" w:rsidRPr="00795B89" w:rsidRDefault="00795B89" w:rsidP="00795B89">
      <w:pPr>
        <w:rPr>
          <w:rFonts w:ascii="Arial" w:hAnsi="Arial" w:cs="Arial"/>
          <w:i/>
          <w:iCs/>
        </w:rPr>
      </w:pPr>
      <w:r w:rsidRPr="00795B89">
        <w:rPr>
          <w:rFonts w:ascii="Arial" w:hAnsi="Arial" w:cs="Arial"/>
          <w:i/>
          <w:iCs/>
        </w:rPr>
        <w:t>· S4 az építményhez csatlakozó szolgáltatás környezetét érő villámcsapás.</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kár fajtája szerint az alábbi csoportokat különböztet meg:</w:t>
      </w:r>
    </w:p>
    <w:p w:rsidR="00795B89" w:rsidRPr="00795B89" w:rsidRDefault="00795B89" w:rsidP="00795B89">
      <w:pPr>
        <w:rPr>
          <w:rFonts w:ascii="Arial" w:hAnsi="Arial" w:cs="Arial"/>
        </w:rPr>
      </w:pPr>
      <w:r w:rsidRPr="00795B89">
        <w:rPr>
          <w:rFonts w:ascii="Arial" w:hAnsi="Arial" w:cs="Arial"/>
        </w:rPr>
        <w:t>· D1 élőlények sérülése érintési és lépésfeszültség következtében,</w:t>
      </w:r>
    </w:p>
    <w:p w:rsidR="00795B89" w:rsidRPr="00795B89" w:rsidRDefault="00795B89" w:rsidP="00795B89">
      <w:pPr>
        <w:rPr>
          <w:rFonts w:ascii="Arial" w:hAnsi="Arial" w:cs="Arial"/>
          <w:i/>
          <w:iCs/>
        </w:rPr>
      </w:pPr>
      <w:r w:rsidRPr="00795B89">
        <w:rPr>
          <w:rFonts w:ascii="Arial" w:hAnsi="Arial" w:cs="Arial"/>
          <w:i/>
          <w:iCs/>
        </w:rPr>
        <w:t>· D2 fizikai kár (tűz, robbanás, mechanikai rongálás, vegyi anyagok kiszabadulása),</w:t>
      </w:r>
    </w:p>
    <w:p w:rsidR="00795B89" w:rsidRPr="00795B89" w:rsidRDefault="00795B89" w:rsidP="00795B89">
      <w:pPr>
        <w:rPr>
          <w:rFonts w:ascii="Arial" w:hAnsi="Arial" w:cs="Arial"/>
        </w:rPr>
      </w:pPr>
      <w:r w:rsidRPr="00795B89">
        <w:rPr>
          <w:rFonts w:ascii="Arial" w:hAnsi="Arial" w:cs="Arial"/>
        </w:rPr>
        <w:t>· D3 belső rendszerek meghibásodása az elektromágneses impulzus következtében.</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veszteségek fajtáit az alábbi csoportokba sorolja:</w:t>
      </w:r>
    </w:p>
    <w:p w:rsidR="00795B89" w:rsidRPr="00795B89" w:rsidRDefault="00795B89" w:rsidP="00795B89">
      <w:pPr>
        <w:rPr>
          <w:rFonts w:ascii="Arial" w:hAnsi="Arial" w:cs="Arial"/>
          <w:i/>
          <w:iCs/>
        </w:rPr>
      </w:pPr>
      <w:r w:rsidRPr="00795B89">
        <w:rPr>
          <w:rFonts w:ascii="Arial" w:hAnsi="Arial" w:cs="Arial"/>
          <w:i/>
          <w:iCs/>
        </w:rPr>
        <w:t>· L1 az emberi élet elvesztése,</w:t>
      </w:r>
    </w:p>
    <w:p w:rsidR="00795B89" w:rsidRPr="00795B89" w:rsidRDefault="00795B89" w:rsidP="00795B89">
      <w:pPr>
        <w:rPr>
          <w:rFonts w:ascii="Arial" w:hAnsi="Arial" w:cs="Arial"/>
          <w:i/>
          <w:iCs/>
        </w:rPr>
      </w:pPr>
      <w:r w:rsidRPr="00795B89">
        <w:rPr>
          <w:rFonts w:ascii="Arial" w:hAnsi="Arial" w:cs="Arial"/>
          <w:i/>
          <w:iCs/>
        </w:rPr>
        <w:t>· L2 a szolgáltatások kiesése,</w:t>
      </w:r>
    </w:p>
    <w:p w:rsidR="00795B89" w:rsidRPr="00795B89" w:rsidRDefault="00795B89" w:rsidP="00795B89">
      <w:pPr>
        <w:rPr>
          <w:rFonts w:ascii="Arial" w:hAnsi="Arial" w:cs="Arial"/>
        </w:rPr>
      </w:pPr>
      <w:r w:rsidRPr="00795B89">
        <w:rPr>
          <w:rFonts w:ascii="Arial" w:hAnsi="Arial" w:cs="Arial"/>
        </w:rPr>
        <w:t>· L3 a kulturális örökség, műkincsek elvesztése,</w:t>
      </w:r>
    </w:p>
    <w:p w:rsidR="00795B89" w:rsidRPr="00795B89" w:rsidRDefault="00795B89" w:rsidP="00795B89">
      <w:pPr>
        <w:rPr>
          <w:rFonts w:ascii="Arial" w:hAnsi="Arial" w:cs="Arial"/>
          <w:i/>
          <w:iCs/>
        </w:rPr>
      </w:pPr>
      <w:r w:rsidRPr="00795B89">
        <w:rPr>
          <w:rFonts w:ascii="Arial" w:hAnsi="Arial" w:cs="Arial"/>
          <w:i/>
          <w:iCs/>
        </w:rPr>
        <w:t>· L4 a gazdasági károk elvesztése (építmény és tartalma, szolgáltatás és tevékenység megszűnése).</w:t>
      </w:r>
    </w:p>
    <w:p w:rsidR="00795B89" w:rsidRPr="00795B89" w:rsidRDefault="00795B89" w:rsidP="00795B89">
      <w:pPr>
        <w:spacing w:after="20"/>
        <w:rPr>
          <w:rFonts w:ascii="Arial" w:hAnsi="Arial" w:cs="Arial"/>
        </w:rPr>
      </w:pPr>
      <w:r w:rsidRPr="00795B89">
        <w:rPr>
          <w:rFonts w:ascii="Arial" w:hAnsi="Arial" w:cs="Arial"/>
        </w:rPr>
        <w:t>A villámcsapások hatásával szembeni védelem megfelelő,</w:t>
      </w:r>
    </w:p>
    <w:p w:rsidR="00795B89" w:rsidRPr="00795B89" w:rsidRDefault="00795B89" w:rsidP="00795B89">
      <w:pPr>
        <w:spacing w:after="20"/>
        <w:ind w:firstLine="180"/>
        <w:rPr>
          <w:rFonts w:ascii="Arial" w:hAnsi="Arial" w:cs="Arial"/>
        </w:rPr>
      </w:pPr>
      <w:r w:rsidRPr="00795B89">
        <w:rPr>
          <w:rFonts w:ascii="Arial" w:hAnsi="Arial" w:cs="Arial"/>
          <w:i/>
          <w:iCs/>
        </w:rPr>
        <w:t>a)</w:t>
      </w:r>
      <w:r w:rsidRPr="00795B89">
        <w:rPr>
          <w:rFonts w:ascii="Arial" w:hAnsi="Arial" w:cs="Arial"/>
        </w:rPr>
        <w:t xml:space="preserve"> ha a villámvédelmi kockázatelemzéssel meghatározott, egy évre vetített kockázat az emberi élet elvesztésére vonatkozóan kisebb, mint 10</w:t>
      </w:r>
      <w:r w:rsidRPr="00795B89">
        <w:rPr>
          <w:rFonts w:ascii="Arial" w:hAnsi="Arial" w:cs="Arial"/>
          <w:vertAlign w:val="superscript"/>
        </w:rPr>
        <w:t>-5</w:t>
      </w:r>
      <w:r w:rsidRPr="00795B89">
        <w:rPr>
          <w:rFonts w:ascii="Arial" w:hAnsi="Arial" w:cs="Arial"/>
          <w:sz w:val="32"/>
          <w:szCs w:val="32"/>
        </w:rPr>
        <w:t>,</w:t>
      </w:r>
      <w:r w:rsidRPr="00795B89">
        <w:rPr>
          <w:rFonts w:ascii="Arial" w:hAnsi="Arial" w:cs="Arial"/>
        </w:rPr>
        <w:t xml:space="preserve"> a közszolgáltatás kiesésére és a kulturális örökség elvesztésére vonatkozóan kisebb, mint 10</w:t>
      </w:r>
      <w:r w:rsidRPr="00795B89">
        <w:rPr>
          <w:rFonts w:ascii="Arial" w:hAnsi="Arial" w:cs="Arial"/>
          <w:vertAlign w:val="superscript"/>
        </w:rPr>
        <w:t>-4</w:t>
      </w:r>
      <w:r w:rsidRPr="00795B89">
        <w:rPr>
          <w:rFonts w:ascii="Arial" w:hAnsi="Arial" w:cs="Arial"/>
        </w:rPr>
        <w:t>,</w:t>
      </w:r>
    </w:p>
    <w:p w:rsidR="00795B89" w:rsidRPr="00795B89" w:rsidRDefault="00795B89" w:rsidP="00795B89">
      <w:pPr>
        <w:spacing w:after="20"/>
        <w:ind w:firstLine="180"/>
        <w:rPr>
          <w:rFonts w:ascii="Arial" w:hAnsi="Arial" w:cs="Arial"/>
        </w:rPr>
      </w:pPr>
      <w:r w:rsidRPr="00795B89">
        <w:rPr>
          <w:rFonts w:ascii="Arial" w:hAnsi="Arial" w:cs="Arial"/>
          <w:i/>
          <w:iCs/>
        </w:rPr>
        <w:t>b)</w:t>
      </w:r>
      <w:r w:rsidRPr="00795B89">
        <w:rPr>
          <w:rFonts w:ascii="Arial" w:hAnsi="Arial" w:cs="Arial"/>
        </w:rPr>
        <w:t xml:space="preserve"> ha a 12. mellékletben foglalt táblázatban foglalt építmények villámvédelme megfelel az ott leírtaknak, és</w:t>
      </w:r>
    </w:p>
    <w:p w:rsidR="00795B89" w:rsidRPr="00795B89" w:rsidRDefault="00795B89" w:rsidP="00795B89">
      <w:pPr>
        <w:spacing w:after="20"/>
        <w:ind w:firstLine="180"/>
        <w:rPr>
          <w:rFonts w:ascii="Arial" w:hAnsi="Arial" w:cs="Arial"/>
        </w:rPr>
      </w:pPr>
      <w:r w:rsidRPr="00795B89">
        <w:rPr>
          <w:rFonts w:ascii="Arial" w:hAnsi="Arial" w:cs="Arial"/>
          <w:i/>
          <w:iCs/>
        </w:rPr>
        <w:t>c)</w:t>
      </w:r>
      <w:r w:rsidRPr="00795B89">
        <w:rPr>
          <w:rFonts w:ascii="Arial" w:hAnsi="Arial" w:cs="Arial"/>
        </w:rPr>
        <w:t xml:space="preserve"> ha az ideiglenes építmény villámvédelmi intézkedései a 143. §-ban foglaltaknak megfelelnek.</w:t>
      </w:r>
    </w:p>
    <w:p w:rsidR="00795B89" w:rsidRPr="00795B89" w:rsidRDefault="00795B89" w:rsidP="00795B89">
      <w:pPr>
        <w:spacing w:after="20"/>
        <w:rPr>
          <w:rFonts w:ascii="Arial" w:hAnsi="Arial" w:cs="Arial"/>
          <w:b/>
          <w:bCs/>
        </w:rPr>
      </w:pPr>
    </w:p>
    <w:p w:rsidR="00795B89" w:rsidRPr="00795B89" w:rsidRDefault="00795B89" w:rsidP="00795B89">
      <w:pPr>
        <w:spacing w:after="20"/>
        <w:rPr>
          <w:rFonts w:ascii="Arial" w:hAnsi="Arial" w:cs="Arial"/>
        </w:rPr>
      </w:pPr>
      <w:r w:rsidRPr="00795B89">
        <w:rPr>
          <w:rFonts w:ascii="Arial" w:hAnsi="Arial" w:cs="Arial"/>
        </w:rPr>
        <w:t>Villámvédelmet kell létesíteni az OTSZ 12. mellékletben foglalt táblázatban megjelölt építmények esetében, az ott meghatározott védelmi szint biztosításával, továbbá abban az építményben, ahol a villámcsapások hatásaival szembeni védelem csak így biztosítható.</w:t>
      </w:r>
    </w:p>
    <w:p w:rsidR="00795B89" w:rsidRDefault="00795B89" w:rsidP="00795B89">
      <w:pPr>
        <w:spacing w:after="20"/>
        <w:rPr>
          <w:rFonts w:ascii="Arial" w:hAnsi="Arial" w:cs="Arial"/>
        </w:rPr>
      </w:pPr>
    </w:p>
    <w:p w:rsidR="00795B89" w:rsidRDefault="00795B89" w:rsidP="00795B89">
      <w:pPr>
        <w:spacing w:after="20"/>
        <w:rPr>
          <w:rFonts w:ascii="Arial" w:hAnsi="Arial" w:cs="Arial"/>
        </w:rPr>
      </w:pPr>
    </w:p>
    <w:p w:rsidR="00795B89" w:rsidRDefault="00795B89" w:rsidP="00795B89">
      <w:pPr>
        <w:spacing w:after="20"/>
        <w:rPr>
          <w:rFonts w:ascii="Arial" w:hAnsi="Arial" w:cs="Arial"/>
        </w:rPr>
      </w:pPr>
    </w:p>
    <w:p w:rsidR="00795B89" w:rsidRDefault="00795B89" w:rsidP="00795B89">
      <w:pPr>
        <w:spacing w:after="20"/>
        <w:rPr>
          <w:rFonts w:ascii="Arial" w:hAnsi="Arial" w:cs="Arial"/>
        </w:rPr>
      </w:pPr>
    </w:p>
    <w:p w:rsidR="00795B89" w:rsidRDefault="00795B89" w:rsidP="00795B89">
      <w:pPr>
        <w:spacing w:after="20"/>
        <w:rPr>
          <w:rFonts w:ascii="Arial" w:hAnsi="Arial" w:cs="Arial"/>
        </w:rPr>
      </w:pPr>
    </w:p>
    <w:p w:rsidR="00795B89" w:rsidRDefault="00795B89" w:rsidP="00795B89">
      <w:pPr>
        <w:spacing w:after="20"/>
        <w:rPr>
          <w:rFonts w:ascii="Arial" w:hAnsi="Arial" w:cs="Arial"/>
        </w:rPr>
      </w:pPr>
    </w:p>
    <w:p w:rsidR="00795B89" w:rsidRDefault="00795B89" w:rsidP="00795B89">
      <w:pPr>
        <w:spacing w:after="20"/>
        <w:rPr>
          <w:rFonts w:ascii="Arial" w:hAnsi="Arial" w:cs="Arial"/>
        </w:rPr>
      </w:pPr>
    </w:p>
    <w:p w:rsidR="00795B89" w:rsidRDefault="00795B89" w:rsidP="00795B89">
      <w:pPr>
        <w:spacing w:after="20"/>
        <w:rPr>
          <w:rFonts w:ascii="Arial" w:hAnsi="Arial" w:cs="Arial"/>
        </w:rPr>
      </w:pPr>
    </w:p>
    <w:p w:rsidR="00795B89" w:rsidRDefault="00795B89" w:rsidP="00795B89">
      <w:pPr>
        <w:spacing w:after="20"/>
        <w:rPr>
          <w:rFonts w:ascii="Arial" w:hAnsi="Arial" w:cs="Arial"/>
        </w:rPr>
      </w:pPr>
    </w:p>
    <w:p w:rsidR="00795B89" w:rsidRPr="00795B89" w:rsidRDefault="00795B89" w:rsidP="00795B89">
      <w:pPr>
        <w:spacing w:after="20"/>
        <w:rPr>
          <w:rFonts w:ascii="Arial" w:hAnsi="Arial" w:cs="Arial"/>
        </w:rPr>
      </w:pPr>
    </w:p>
    <w:p w:rsidR="00795B89" w:rsidRPr="00795B89" w:rsidRDefault="00795B89" w:rsidP="00795B89">
      <w:pPr>
        <w:spacing w:after="20"/>
        <w:rPr>
          <w:rFonts w:ascii="Arial" w:hAnsi="Arial" w:cs="Arial"/>
        </w:rPr>
      </w:pPr>
      <w:r w:rsidRPr="00795B89">
        <w:rPr>
          <w:rFonts w:ascii="Arial" w:hAnsi="Arial" w:cs="Arial"/>
        </w:rPr>
        <w:t>Az OTSZ az alábbi építményekhez határoz meg minimális védelmi szintet:</w:t>
      </w:r>
    </w:p>
    <w:p w:rsidR="00795B89" w:rsidRDefault="00795B89" w:rsidP="00795B89">
      <w:pPr>
        <w:spacing w:after="20"/>
      </w:pPr>
    </w:p>
    <w:tbl>
      <w:tblPr>
        <w:tblW w:w="9800" w:type="dxa"/>
        <w:tblInd w:w="60" w:type="dxa"/>
        <w:tblCellMar>
          <w:top w:w="15" w:type="dxa"/>
          <w:left w:w="15" w:type="dxa"/>
          <w:bottom w:w="15" w:type="dxa"/>
          <w:right w:w="15" w:type="dxa"/>
        </w:tblCellMar>
        <w:tblLook w:val="00A0"/>
      </w:tblPr>
      <w:tblGrid>
        <w:gridCol w:w="5671"/>
        <w:gridCol w:w="1691"/>
        <w:gridCol w:w="2438"/>
      </w:tblGrid>
      <w:tr w:rsidR="00795B89" w:rsidRPr="00140AE7" w:rsidTr="006C6762">
        <w:tc>
          <w:tcPr>
            <w:tcW w:w="5671" w:type="dxa"/>
            <w:tcBorders>
              <w:top w:val="single" w:sz="6" w:space="0" w:color="000000"/>
              <w:left w:val="single" w:sz="6" w:space="0" w:color="000000"/>
              <w:right w:val="single" w:sz="6" w:space="0" w:color="000000"/>
            </w:tcBorders>
            <w:tcMar>
              <w:top w:w="15" w:type="dxa"/>
              <w:left w:w="60" w:type="dxa"/>
              <w:bottom w:w="15" w:type="dxa"/>
              <w:right w:w="60" w:type="dxa"/>
            </w:tcMar>
          </w:tcPr>
          <w:p w:rsidR="00795B89" w:rsidRPr="00140AE7" w:rsidRDefault="00795B89" w:rsidP="006C6762">
            <w:pPr>
              <w:ind w:left="80" w:right="80"/>
              <w:jc w:val="center"/>
              <w:rPr>
                <w:sz w:val="18"/>
                <w:szCs w:val="18"/>
              </w:rPr>
            </w:pPr>
            <w:r w:rsidRPr="00140AE7">
              <w:rPr>
                <w:sz w:val="18"/>
                <w:szCs w:val="18"/>
              </w:rPr>
              <w:t>Az építmény rendeltetése</w:t>
            </w:r>
          </w:p>
        </w:tc>
        <w:tc>
          <w:tcPr>
            <w:tcW w:w="4129" w:type="dxa"/>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Védelmi szint</w:t>
            </w:r>
          </w:p>
        </w:tc>
      </w:tr>
      <w:tr w:rsidR="00795B89" w:rsidRPr="00140AE7" w:rsidTr="006C6762">
        <w:tc>
          <w:tcPr>
            <w:tcW w:w="5671" w:type="dxa"/>
            <w:tcBorders>
              <w:left w:val="single" w:sz="6" w:space="0" w:color="000000"/>
              <w:bottom w:val="single" w:sz="6" w:space="0" w:color="000000"/>
              <w:right w:val="single" w:sz="6" w:space="0" w:color="000000"/>
            </w:tcBorders>
          </w:tcPr>
          <w:p w:rsidR="00795B89" w:rsidRPr="00140AE7" w:rsidRDefault="00795B89" w:rsidP="006C6762">
            <w:pPr>
              <w:rPr>
                <w:sz w:val="18"/>
                <w:szCs w:val="18"/>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Villámvédelmi fokozat</w:t>
            </w:r>
          </w:p>
          <w:p w:rsidR="00795B89" w:rsidRPr="00140AE7" w:rsidRDefault="00795B89" w:rsidP="006C6762">
            <w:pPr>
              <w:ind w:left="80" w:right="80"/>
              <w:jc w:val="center"/>
              <w:rPr>
                <w:sz w:val="18"/>
                <w:szCs w:val="18"/>
              </w:rPr>
            </w:pPr>
            <w:r w:rsidRPr="00140AE7">
              <w:rPr>
                <w:sz w:val="18"/>
                <w:szCs w:val="18"/>
              </w:rPr>
              <w:t>(LPS)</w:t>
            </w:r>
          </w:p>
        </w:tc>
        <w:tc>
          <w:tcPr>
            <w:tcW w:w="2438" w:type="dxa"/>
            <w:tcBorders>
              <w:top w:val="single" w:sz="6" w:space="0" w:color="000000"/>
              <w:left w:val="single" w:sz="6" w:space="0" w:color="000000"/>
              <w:bottom w:val="single" w:sz="6" w:space="0" w:color="000000"/>
              <w:right w:val="single" w:sz="6" w:space="0" w:color="000000"/>
            </w:tcBorders>
            <w:tcMar>
              <w:top w:w="15" w:type="dxa"/>
              <w:left w:w="60" w:type="dxa"/>
              <w:bottom w:w="15" w:type="dxa"/>
              <w:right w:w="60" w:type="dxa"/>
            </w:tcMar>
          </w:tcPr>
          <w:p w:rsidR="00795B89" w:rsidRPr="00140AE7" w:rsidRDefault="00795B89" w:rsidP="006C6762">
            <w:pPr>
              <w:ind w:left="80" w:right="80"/>
              <w:jc w:val="center"/>
              <w:rPr>
                <w:sz w:val="18"/>
                <w:szCs w:val="18"/>
              </w:rPr>
            </w:pPr>
            <w:r w:rsidRPr="00140AE7">
              <w:rPr>
                <w:sz w:val="18"/>
                <w:szCs w:val="18"/>
              </w:rPr>
              <w:t>Koordinált túlfeszültségvédelem fokozat</w:t>
            </w:r>
          </w:p>
          <w:p w:rsidR="00795B89" w:rsidRPr="00140AE7" w:rsidRDefault="00795B89" w:rsidP="006C6762">
            <w:pPr>
              <w:ind w:left="80" w:right="80"/>
              <w:jc w:val="center"/>
              <w:rPr>
                <w:sz w:val="18"/>
                <w:szCs w:val="18"/>
              </w:rPr>
            </w:pPr>
            <w:r w:rsidRPr="00140AE7">
              <w:rPr>
                <w:sz w:val="18"/>
                <w:szCs w:val="18"/>
              </w:rPr>
              <w:t>SPM</w:t>
            </w:r>
          </w:p>
        </w:tc>
      </w:tr>
      <w:tr w:rsidR="00795B89" w:rsidRPr="00140AE7" w:rsidTr="006C6762">
        <w:tc>
          <w:tcPr>
            <w:tcW w:w="567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rPr>
                <w:sz w:val="18"/>
                <w:szCs w:val="18"/>
              </w:rPr>
            </w:pPr>
            <w:r w:rsidRPr="00140AE7">
              <w:rPr>
                <w:sz w:val="18"/>
                <w:szCs w:val="18"/>
              </w:rPr>
              <w:t>Oktatási rendeltetésű épületek</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III</w:t>
            </w:r>
          </w:p>
        </w:tc>
        <w:tc>
          <w:tcPr>
            <w:tcW w:w="243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III-IV</w:t>
            </w:r>
          </w:p>
        </w:tc>
      </w:tr>
      <w:tr w:rsidR="00795B89" w:rsidRPr="00140AE7" w:rsidTr="006C6762">
        <w:tc>
          <w:tcPr>
            <w:tcW w:w="567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rPr>
                <w:sz w:val="18"/>
                <w:szCs w:val="18"/>
              </w:rPr>
            </w:pPr>
            <w:r w:rsidRPr="00140AE7">
              <w:rPr>
                <w:sz w:val="18"/>
                <w:szCs w:val="18"/>
              </w:rPr>
              <w:t>Menekülésben korlátozott személyek elhelyezésére szolgáló épületek, egészségügyi rendeltetésű épületek, kényszertartózkodásra szolgáló épületek</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140AE7" w:rsidRDefault="00795B89" w:rsidP="006C6762">
            <w:pPr>
              <w:ind w:left="80" w:right="80"/>
              <w:jc w:val="center"/>
              <w:rPr>
                <w:sz w:val="18"/>
                <w:szCs w:val="18"/>
              </w:rPr>
            </w:pPr>
            <w:r w:rsidRPr="00140AE7">
              <w:rPr>
                <w:sz w:val="18"/>
                <w:szCs w:val="18"/>
              </w:rPr>
              <w:t>III</w:t>
            </w:r>
          </w:p>
        </w:tc>
        <w:tc>
          <w:tcPr>
            <w:tcW w:w="243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tcPr>
          <w:p w:rsidR="00795B89" w:rsidRPr="00140AE7" w:rsidRDefault="00795B89" w:rsidP="006C6762">
            <w:pPr>
              <w:ind w:left="80" w:right="80"/>
              <w:jc w:val="center"/>
              <w:rPr>
                <w:sz w:val="18"/>
                <w:szCs w:val="18"/>
              </w:rPr>
            </w:pPr>
            <w:r w:rsidRPr="00140AE7">
              <w:rPr>
                <w:sz w:val="18"/>
                <w:szCs w:val="18"/>
              </w:rPr>
              <w:t>III-IV</w:t>
            </w:r>
          </w:p>
        </w:tc>
      </w:tr>
      <w:tr w:rsidR="00795B89" w:rsidRPr="00140AE7" w:rsidTr="006C6762">
        <w:tc>
          <w:tcPr>
            <w:tcW w:w="567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rPr>
                <w:sz w:val="18"/>
                <w:szCs w:val="18"/>
              </w:rPr>
            </w:pPr>
            <w:r w:rsidRPr="00140AE7">
              <w:rPr>
                <w:sz w:val="18"/>
                <w:szCs w:val="18"/>
              </w:rPr>
              <w:t>Tömegtartózkodásra szolgáló épületek, építmények</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IV</w:t>
            </w:r>
          </w:p>
        </w:tc>
        <w:tc>
          <w:tcPr>
            <w:tcW w:w="243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III-IV</w:t>
            </w:r>
          </w:p>
        </w:tc>
      </w:tr>
      <w:tr w:rsidR="00795B89" w:rsidRPr="00140AE7" w:rsidTr="006C6762">
        <w:tc>
          <w:tcPr>
            <w:tcW w:w="567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rPr>
                <w:sz w:val="18"/>
                <w:szCs w:val="18"/>
              </w:rPr>
            </w:pPr>
            <w:r w:rsidRPr="00140AE7">
              <w:rPr>
                <w:sz w:val="18"/>
                <w:szCs w:val="18"/>
              </w:rPr>
              <w:t>Szállodák, kollégiumi épületek (50 fő befogadóképesség felett)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III</w:t>
            </w:r>
          </w:p>
        </w:tc>
        <w:tc>
          <w:tcPr>
            <w:tcW w:w="243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III-IV</w:t>
            </w:r>
          </w:p>
        </w:tc>
      </w:tr>
      <w:tr w:rsidR="00795B89" w:rsidRPr="00140AE7" w:rsidTr="006C6762">
        <w:trPr>
          <w:trHeight w:val="739"/>
        </w:trPr>
        <w:tc>
          <w:tcPr>
            <w:tcW w:w="5671"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rPr>
                <w:sz w:val="18"/>
                <w:szCs w:val="18"/>
              </w:rPr>
            </w:pPr>
            <w:r w:rsidRPr="00140AE7">
              <w:rPr>
                <w:sz w:val="18"/>
                <w:szCs w:val="18"/>
              </w:rPr>
              <w:t>Robbanásveszélyes osztályba tartozó anyag gyártására, feldolgozására, tárolására szolgáló, ipari vagy tárolási alaprendeltetésű önálló rendeltetési egységet tartalmazó épület vagy szabadtér</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II</w:t>
            </w:r>
          </w:p>
        </w:tc>
        <w:tc>
          <w:tcPr>
            <w:tcW w:w="2438"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tcPr>
          <w:p w:rsidR="00795B89" w:rsidRPr="00140AE7" w:rsidRDefault="00795B89" w:rsidP="006C6762">
            <w:pPr>
              <w:ind w:left="80" w:right="80"/>
              <w:jc w:val="center"/>
              <w:rPr>
                <w:sz w:val="18"/>
                <w:szCs w:val="18"/>
              </w:rPr>
            </w:pPr>
            <w:r w:rsidRPr="00140AE7">
              <w:rPr>
                <w:sz w:val="18"/>
                <w:szCs w:val="18"/>
              </w:rPr>
              <w:t>II</w:t>
            </w:r>
          </w:p>
        </w:tc>
      </w:tr>
    </w:tbl>
    <w:p w:rsidR="00795B89" w:rsidRDefault="00795B89" w:rsidP="00795B89"/>
    <w:p w:rsidR="00795B89" w:rsidRPr="00795B89" w:rsidRDefault="00795B89" w:rsidP="00795B89">
      <w:pPr>
        <w:spacing w:after="20"/>
        <w:rPr>
          <w:rFonts w:ascii="Arial" w:hAnsi="Arial" w:cs="Arial"/>
        </w:rPr>
      </w:pPr>
      <w:r w:rsidRPr="00795B89">
        <w:rPr>
          <w:rFonts w:ascii="Arial" w:hAnsi="Arial" w:cs="Arial"/>
        </w:rPr>
        <w:t>A táblázat alapján tűzvédelmi szempontból villámvédelem minimális védelmi szintjére nincs előírás, de a villámvédelmi berendezés minimális védelmi szintjét a fenti kockázat értékelést követően lehet eldönteni.</w:t>
      </w:r>
    </w:p>
    <w:p w:rsidR="00795B89" w:rsidRPr="00795B89" w:rsidRDefault="00795B89" w:rsidP="00795B89">
      <w:pPr>
        <w:spacing w:after="20"/>
        <w:rPr>
          <w:rFonts w:ascii="Arial" w:hAnsi="Arial" w:cs="Arial"/>
        </w:rPr>
      </w:pPr>
    </w:p>
    <w:p w:rsidR="00795B89" w:rsidRPr="00795B89" w:rsidRDefault="00795B89" w:rsidP="00795B89">
      <w:pPr>
        <w:rPr>
          <w:rFonts w:ascii="Arial" w:hAnsi="Arial" w:cs="Arial"/>
        </w:rPr>
      </w:pPr>
      <w:r w:rsidRPr="00795B89">
        <w:rPr>
          <w:rFonts w:ascii="Arial" w:hAnsi="Arial" w:cs="Arial"/>
        </w:rPr>
        <w:t>A hivatásos katasztrófavédelmi szerveknél, az önkormányzati és létesítményi tűzoltóságoknál, az önkéntes tűzoltó egyesületeknél, valamint az ez irányú szakágazatokban foglalkoztatottak szakmai képesítési követelményeiről és szakmai képzéseiről szóló 9/2015. (III. 25.) BM rendelet 10. § (1) bekezdése alapján villámvédelmi berendezés tervezésére csak a Magyar Mérnöki Kamara (a továbbiakban: MMK) tervezői névjegyzékében szereplő építményvillamossági tervezési szakterületen jogosultsággal rendelkező építészeti-műszaki tervező (a továbbiakban: villamos tervező) jogosult, aki az MMK által jóváhagyott oktatási tematika szerinti villámvédelmi tervezői vizsgával rendelkezik, vagy szakmai gyakorlata és képzettsége alapján az MMK-tól megkapta az építményvillamossági tervezési szakterületre vonatkozó különösen gyakorlott címet.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9/2015. (III. 25.) BM rendelet 10. § (2) bekezdése alapján az (1) bekezdésben meghatározott követelményekkel a villámvédelmi berendezés kivitelezésének ellenőrzéséért felelős építési műszaki ellenőrnek is rendelkeznie kell.</w:t>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Elektrosztatikus feltöltődés elleni védelem:</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 xml:space="preserve">Azokon a területeken, szabadtereken, robbanásveszélyes zónákban, ahol robbanásveszélyes osztályba tartozó anyagokat állítanak elő, dolgoznak fel, használnak – ide nem értve a kizárólag csak a fizikai jellemzők megváltozását –, tárolnak vagy forgalomba hoznak és az elektrosztatikus feltöltődés tüzet vagy robbanást okozhat, elektrosztatikus feltöltődés elleni védelmet kell biztosítani. </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tárgyi épületben olyan terület nem kerül kialakításra, ahol elektrosztatikus feltöltődés elleni védelmet kellene kialakítani.</w:t>
      </w:r>
    </w:p>
    <w:p w:rsidR="00795B89" w:rsidRPr="00795B89" w:rsidRDefault="00795B89" w:rsidP="00795B89">
      <w:pPr>
        <w:rPr>
          <w:rFonts w:ascii="Arial" w:hAnsi="Arial" w:cs="Arial"/>
        </w:rPr>
      </w:pPr>
    </w:p>
    <w:p w:rsidR="00795B89" w:rsidRDefault="00795B89" w:rsidP="00795B89"/>
    <w:p w:rsidR="00795B89" w:rsidRDefault="00795B89" w:rsidP="00795B89"/>
    <w:p w:rsidR="00795B89" w:rsidRDefault="00795B89" w:rsidP="00795B89"/>
    <w:p w:rsidR="00795B89" w:rsidRPr="00795B89" w:rsidRDefault="00795B89" w:rsidP="00795B89">
      <w:pPr>
        <w:rPr>
          <w:rFonts w:ascii="Arial" w:hAnsi="Arial" w:cs="Arial"/>
          <w:b/>
          <w:bCs/>
          <w:u w:val="single"/>
        </w:rPr>
      </w:pPr>
      <w:r w:rsidRPr="00795B89">
        <w:rPr>
          <w:rFonts w:ascii="Arial" w:hAnsi="Arial" w:cs="Arial"/>
          <w:b/>
          <w:bCs/>
          <w:u w:val="single"/>
        </w:rPr>
        <w:t xml:space="preserve">Beépített automatikus tűzjelző és tűzoltó berendezések kialakítása: </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Az OTSZ 14. mellékletben foglalt táblázata alapján ipari rendeltetés esetén az AK osztályba sorolt üzemi területeken automatikus tűzjelző berendezés létesítése nem kötelező, ennek megfelelően a helyiség területén nem kerül kiépítésre automatikus tűzjelző berendezés.</w:t>
      </w:r>
    </w:p>
    <w:p w:rsidR="00795B89" w:rsidRPr="00795B89" w:rsidRDefault="00795B89" w:rsidP="00795B89">
      <w:pPr>
        <w:rPr>
          <w:rFonts w:ascii="Arial" w:hAnsi="Arial" w:cs="Arial"/>
        </w:rPr>
      </w:pPr>
    </w:p>
    <w:p w:rsidR="00795B89" w:rsidRPr="00795B89" w:rsidRDefault="00795B89" w:rsidP="00795B89">
      <w:pPr>
        <w:rPr>
          <w:rFonts w:ascii="Arial" w:hAnsi="Arial" w:cs="Arial"/>
          <w:b/>
          <w:bCs/>
          <w:u w:val="single"/>
        </w:rPr>
      </w:pPr>
      <w:r w:rsidRPr="00795B89">
        <w:rPr>
          <w:rFonts w:ascii="Arial" w:hAnsi="Arial" w:cs="Arial"/>
          <w:b/>
          <w:bCs/>
          <w:u w:val="single"/>
        </w:rPr>
        <w:t>Tűzoltó készülékek:</w:t>
      </w:r>
    </w:p>
    <w:p w:rsidR="00795B89" w:rsidRPr="00795B89" w:rsidRDefault="00795B89" w:rsidP="00795B89">
      <w:pPr>
        <w:rPr>
          <w:rFonts w:ascii="Arial" w:hAnsi="Arial" w:cs="Arial"/>
        </w:rPr>
      </w:pPr>
    </w:p>
    <w:p w:rsidR="00795B89" w:rsidRPr="00795B89" w:rsidRDefault="00795B89" w:rsidP="00795B89">
      <w:pPr>
        <w:spacing w:after="20"/>
        <w:rPr>
          <w:rFonts w:ascii="Arial" w:hAnsi="Arial" w:cs="Arial"/>
        </w:rPr>
      </w:pPr>
      <w:r w:rsidRPr="00795B89">
        <w:rPr>
          <w:rFonts w:ascii="Arial" w:hAnsi="Arial" w:cs="Arial"/>
        </w:rPr>
        <w:t>Az OTSZ 204. § (3) bekezdése alapján tűzoltó készüléket kell elhelyezni az önálló rendeltetési egységekben legalább szintenként az OTSZ 16. mellékletben foglalt 2. táblázat szerint.</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 xml:space="preserve">A gázfogyasztó készülék helyiségénél – a helyiségből és a helyiségen kívülről jól megközelíthető </w:t>
      </w:r>
      <w:r w:rsidRPr="00795B89">
        <w:rPr>
          <w:rFonts w:ascii="Arial" w:hAnsi="Arial" w:cs="Arial"/>
        </w:rPr>
        <w:br/>
        <w:t>helyen – az Országos Tűzvédelmi Szabályzat eltérő rendelkezése hiányában az MSZ EN 3-7: 2004+</w:t>
      </w:r>
      <w:r w:rsidRPr="00795B89">
        <w:rPr>
          <w:rFonts w:ascii="Arial" w:hAnsi="Arial" w:cs="Arial"/>
        </w:rPr>
        <w:br/>
        <w:t>A1:2008 [Hordozható tűzoltó készülékek.] szabvány szerinti, ABC tűzosztályú tüzek oltására alkalmas porral oltó tűzoltó készülékeket kell készenlétben tartani.</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szükséges tűzoltó készülékek az alábbiak:</w:t>
      </w:r>
    </w:p>
    <w:p w:rsidR="00795B89" w:rsidRPr="00795B89" w:rsidRDefault="00795B89" w:rsidP="00795B89">
      <w:pPr>
        <w:rPr>
          <w:rFonts w:ascii="Arial" w:hAnsi="Arial" w:cs="Arial"/>
        </w:rPr>
      </w:pPr>
    </w:p>
    <w:p w:rsidR="00795B89" w:rsidRPr="00795B89" w:rsidRDefault="00795B89" w:rsidP="00795B89">
      <w:pPr>
        <w:rPr>
          <w:rFonts w:ascii="Arial" w:hAnsi="Arial" w:cs="Arial"/>
        </w:rPr>
      </w:pPr>
      <w:r w:rsidRPr="00795B89">
        <w:rPr>
          <w:rFonts w:ascii="Arial" w:hAnsi="Arial" w:cs="Arial"/>
        </w:rPr>
        <w:t>a) 233 kW összhőteljesítmény alatt külön a gázfogyasztó készülékhez nem szükséges;</w:t>
      </w:r>
      <w:r w:rsidRPr="00795B89">
        <w:rPr>
          <w:rFonts w:ascii="Arial" w:hAnsi="Arial" w:cs="Arial"/>
        </w:rPr>
        <w:br/>
        <w:t>b) 233-580 kW összhőteljesítményhez 1 db 55 A, és 233 B vizsgálati egységtűz oltására alkalmas;</w:t>
      </w:r>
      <w:r w:rsidRPr="00795B89">
        <w:rPr>
          <w:rFonts w:ascii="Arial" w:hAnsi="Arial" w:cs="Arial"/>
        </w:rPr>
        <w:br/>
        <w:t>c) 580-1160 kW összhőteljesítményhez 2 db 55 A, és 233 B; vizsgálati egységtűz oltására alkalmas;</w:t>
      </w:r>
      <w:r w:rsidRPr="00795B89">
        <w:rPr>
          <w:rFonts w:ascii="Arial" w:hAnsi="Arial" w:cs="Arial"/>
        </w:rPr>
        <w:br/>
        <w:t>d) 1160-5800 kW összhőteljesítményhez 4 db 55 A, és 233 B vizsgálati egységtűz oltására alkalmas;</w:t>
      </w:r>
      <w:r w:rsidRPr="00795B89">
        <w:rPr>
          <w:rFonts w:ascii="Arial" w:hAnsi="Arial" w:cs="Arial"/>
        </w:rPr>
        <w:br/>
        <w:t>e) 5800 kW összhőteljesítményen felül 1 db 50 kg-os porral oltó és 4 db 55 A, és 233 B vizsgálati</w:t>
      </w:r>
      <w:r w:rsidRPr="00795B89">
        <w:rPr>
          <w:rFonts w:ascii="Arial" w:hAnsi="Arial" w:cs="Arial"/>
        </w:rPr>
        <w:br/>
        <w:t>egységtűz oltására alkalmas.</w:t>
      </w:r>
    </w:p>
    <w:p w:rsidR="00795B89" w:rsidRPr="00795B89" w:rsidRDefault="00795B89" w:rsidP="00795B89">
      <w:pPr>
        <w:rPr>
          <w:rFonts w:ascii="Arial" w:hAnsi="Arial" w:cs="Arial"/>
        </w:rPr>
      </w:pPr>
      <w:r w:rsidRPr="00795B89">
        <w:rPr>
          <w:rFonts w:ascii="Arial" w:hAnsi="Arial" w:cs="Arial"/>
        </w:rPr>
        <w:t>A tervezett kazánok teljesítményének megfelelően a használatbavételt követően kell meghatározni az elhelyezendő tűzoltó készülékek darabszámát, helyét.</w:t>
      </w:r>
    </w:p>
    <w:p w:rsidR="00795B89" w:rsidRDefault="00795B89" w:rsidP="00795B89">
      <w:pPr>
        <w:rPr>
          <w:rFonts w:ascii="Arial" w:hAnsi="Arial" w:cs="Arial"/>
          <w:b/>
          <w:bCs/>
          <w:u w:val="single"/>
        </w:rPr>
      </w:pPr>
    </w:p>
    <w:p w:rsidR="00795B89" w:rsidRPr="00795B89" w:rsidRDefault="00795B89" w:rsidP="00795B89">
      <w:pPr>
        <w:rPr>
          <w:rFonts w:ascii="Arial" w:hAnsi="Arial" w:cs="Arial"/>
          <w:b/>
          <w:bCs/>
          <w:u w:val="single"/>
        </w:rPr>
      </w:pPr>
      <w:r w:rsidRPr="00795B89">
        <w:rPr>
          <w:rFonts w:ascii="Arial" w:hAnsi="Arial" w:cs="Arial"/>
          <w:b/>
          <w:bCs/>
          <w:u w:val="single"/>
        </w:rPr>
        <w:t>A biztonsági jelzésekre vonatkozó megoldások</w:t>
      </w:r>
    </w:p>
    <w:p w:rsidR="00795B89" w:rsidRPr="00795B89" w:rsidRDefault="00795B89" w:rsidP="00795B89">
      <w:pPr>
        <w:rPr>
          <w:rFonts w:ascii="Arial" w:hAnsi="Arial" w:cs="Arial"/>
        </w:rPr>
      </w:pPr>
    </w:p>
    <w:p w:rsidR="00795B89" w:rsidRPr="00795B89" w:rsidRDefault="00795B89" w:rsidP="00795B89">
      <w:pPr>
        <w:spacing w:after="20"/>
        <w:rPr>
          <w:rFonts w:ascii="Arial" w:hAnsi="Arial" w:cs="Arial"/>
        </w:rPr>
      </w:pPr>
      <w:r w:rsidRPr="00795B89">
        <w:rPr>
          <w:rFonts w:ascii="Arial" w:hAnsi="Arial" w:cs="Arial"/>
        </w:rPr>
        <w:t>A tervezett épület területére biztonsági világítást nem kell létesíteni a helyiségek megközelítésére használt útvonalon.</w:t>
      </w:r>
    </w:p>
    <w:p w:rsidR="00795B89" w:rsidRPr="00795B89" w:rsidRDefault="00795B89" w:rsidP="00795B89">
      <w:pPr>
        <w:rPr>
          <w:rFonts w:ascii="Arial" w:hAnsi="Arial" w:cs="Arial"/>
        </w:rPr>
      </w:pPr>
      <w:r w:rsidRPr="00795B89">
        <w:rPr>
          <w:rFonts w:ascii="Arial" w:hAnsi="Arial" w:cs="Arial"/>
        </w:rPr>
        <w:t>Az épületben huzamos emberi tartózkodásra szolgáló terek, helyiségek nem kerülnek kialakításra. A menekülésre használható kijárati utakat az építményen belül a vonatkozó munkabiztonsági jogszabályban és szabványokban foglalt módon, biztonsági (menekülési, tűzvédelmi és veszélyhelyzeti) jelzésekkel kell felszerelni.</w:t>
      </w:r>
    </w:p>
    <w:p w:rsidR="00795B89" w:rsidRPr="00795B89" w:rsidRDefault="00795B89" w:rsidP="00795B89">
      <w:pPr>
        <w:spacing w:after="20"/>
        <w:rPr>
          <w:rFonts w:ascii="Arial" w:hAnsi="Arial" w:cs="Arial"/>
        </w:rPr>
      </w:pPr>
      <w:r w:rsidRPr="00795B89">
        <w:rPr>
          <w:rFonts w:ascii="Arial" w:hAnsi="Arial" w:cs="Arial"/>
        </w:rPr>
        <w:t>Kívülről vagy belülről megvilágított biztonsági jelekkel vagy utánvilágító jelekkel kell megjelölni az elhelyezett tűzoltó készülékeket.</w:t>
      </w:r>
    </w:p>
    <w:p w:rsidR="00795B89" w:rsidRPr="00795B89" w:rsidRDefault="00795B89" w:rsidP="00795B89">
      <w:pPr>
        <w:rPr>
          <w:rFonts w:ascii="Arial" w:hAnsi="Arial" w:cs="Arial"/>
          <w:color w:val="000000"/>
        </w:rPr>
      </w:pPr>
      <w:r w:rsidRPr="00795B89">
        <w:rPr>
          <w:rFonts w:ascii="Arial" w:hAnsi="Arial" w:cs="Arial"/>
          <w:color w:val="000000"/>
        </w:rPr>
        <w:t>A közművek főelzáró szerelvényeinek helyét az építmény főbejáratánál jelezni kell.</w:t>
      </w:r>
    </w:p>
    <w:p w:rsidR="00795B89" w:rsidRPr="00394839" w:rsidRDefault="00795B89" w:rsidP="00795B89">
      <w:pPr>
        <w:rPr>
          <w:b/>
          <w:bCs/>
        </w:rPr>
      </w:pPr>
    </w:p>
    <w:p w:rsidR="00795B89" w:rsidRDefault="00795B89" w:rsidP="00795B89">
      <w:pPr>
        <w:rPr>
          <w:b/>
          <w:bCs/>
          <w:smallCaps/>
        </w:rPr>
      </w:pPr>
      <w:r>
        <w:rPr>
          <w:b/>
          <w:bCs/>
          <w:smallCaps/>
        </w:rPr>
        <w:br w:type="page"/>
      </w:r>
    </w:p>
    <w:p w:rsidR="00795B89" w:rsidRPr="00795B89" w:rsidRDefault="00795B89" w:rsidP="00795B89">
      <w:pPr>
        <w:pStyle w:val="Szvegtrzs"/>
        <w:jc w:val="center"/>
        <w:rPr>
          <w:rFonts w:ascii="Arial" w:hAnsi="Arial" w:cs="Arial"/>
          <w:b/>
          <w:bCs/>
          <w:smallCaps/>
          <w:sz w:val="24"/>
          <w:szCs w:val="24"/>
        </w:rPr>
      </w:pPr>
    </w:p>
    <w:p w:rsidR="00795B89" w:rsidRPr="00795B89" w:rsidRDefault="00795B89" w:rsidP="00795B89">
      <w:pPr>
        <w:pStyle w:val="Szvegtrzs"/>
        <w:jc w:val="center"/>
        <w:rPr>
          <w:rFonts w:ascii="Arial" w:hAnsi="Arial" w:cs="Arial"/>
          <w:b/>
          <w:bCs/>
          <w:smallCaps/>
          <w:sz w:val="24"/>
          <w:szCs w:val="24"/>
        </w:rPr>
      </w:pPr>
      <w:r w:rsidRPr="00795B89">
        <w:rPr>
          <w:rFonts w:ascii="Arial" w:hAnsi="Arial" w:cs="Arial"/>
          <w:b/>
          <w:bCs/>
          <w:smallCaps/>
          <w:sz w:val="24"/>
          <w:szCs w:val="24"/>
        </w:rPr>
        <w:t xml:space="preserve">SZAKÉRTŐI NYILATKOZAT </w:t>
      </w:r>
    </w:p>
    <w:p w:rsidR="00795B89" w:rsidRPr="00795B89" w:rsidRDefault="00795B89" w:rsidP="00795B89">
      <w:pPr>
        <w:pStyle w:val="NormlWeb"/>
        <w:rPr>
          <w:rFonts w:ascii="Arial" w:hAnsi="Arial" w:cs="Arial"/>
        </w:rPr>
      </w:pPr>
      <w:r w:rsidRPr="00795B89">
        <w:rPr>
          <w:rFonts w:ascii="Arial" w:hAnsi="Arial" w:cs="Arial"/>
        </w:rPr>
        <w:t>Alulírott szakértő kijelentem, hogy a Székesfehérvár, hrsz. 4395</w:t>
      </w:r>
      <w:r w:rsidR="004A0D40">
        <w:rPr>
          <w:rFonts w:ascii="Arial" w:hAnsi="Arial" w:cs="Arial"/>
        </w:rPr>
        <w:t>/6</w:t>
      </w:r>
      <w:r w:rsidRPr="00795B89">
        <w:rPr>
          <w:rFonts w:ascii="Arial" w:hAnsi="Arial" w:cs="Arial"/>
        </w:rPr>
        <w:t xml:space="preserve">. alatti kazánház tűzvédelmi dokumentációja a 312/2012. (XI. 8.) Korm. rendelet 5. melléklet VI. pontja alapján és a létesítmény megvalósítására, üzemeltetésére vonatkozó 54/2014. (XII. 5.) BM rendelet az Országos Tűzvédelmi Szabályzatról, a 11/2013. (III. 21.) NGM rendelet és egyéb vonatkozó jogszabályokban, szabványokban foglalt követelményeknek, előírásoknak megfelel. </w:t>
      </w:r>
    </w:p>
    <w:p w:rsidR="00795B89" w:rsidRPr="00795B89" w:rsidRDefault="00795B89" w:rsidP="00795B89">
      <w:pPr>
        <w:pStyle w:val="NormlWeb"/>
        <w:rPr>
          <w:rFonts w:ascii="Arial" w:hAnsi="Arial" w:cs="Arial"/>
        </w:rPr>
      </w:pPr>
      <w:r w:rsidRPr="00795B89">
        <w:rPr>
          <w:rFonts w:ascii="Arial" w:hAnsi="Arial" w:cs="Arial"/>
        </w:rPr>
        <w:t>A meglévő épület létesítésének idejében, illetve a jelen átalakításkor hatályos tűzvédelmi jogszabályok több téren alapvetően különböznek. A jelenleg hatályos előírásokat az átalakítás során csak az átalakítás körében és mértékében vizsgáltuk, tartottuk be.</w:t>
      </w:r>
    </w:p>
    <w:p w:rsidR="00795B89" w:rsidRPr="00795B89" w:rsidRDefault="00795B89" w:rsidP="00795B89">
      <w:pPr>
        <w:pStyle w:val="NormlWeb"/>
        <w:rPr>
          <w:rFonts w:ascii="Arial" w:hAnsi="Arial" w:cs="Arial"/>
        </w:rPr>
      </w:pPr>
      <w:r w:rsidRPr="00795B89">
        <w:rPr>
          <w:rFonts w:ascii="Arial" w:hAnsi="Arial" w:cs="Arial"/>
        </w:rPr>
        <w:t>A tűzvédelmi műszaki leírás a beruházó, a tervező által rendelkezésemre bocsátott anyagok, dokumentumok, rajzok, műszaki leírások alapján készült. Azok valóságtartalmáért a rendelkezésre bocsátó beruházó, és a tervező felel.</w:t>
      </w:r>
    </w:p>
    <w:p w:rsidR="00795B89" w:rsidRPr="00795B89" w:rsidRDefault="00795B89" w:rsidP="00795B89">
      <w:pPr>
        <w:pStyle w:val="NormlWeb"/>
        <w:rPr>
          <w:rFonts w:ascii="Arial" w:hAnsi="Arial" w:cs="Arial"/>
        </w:rPr>
      </w:pPr>
      <w:r w:rsidRPr="00795B89">
        <w:rPr>
          <w:rFonts w:ascii="Arial" w:hAnsi="Arial" w:cs="Arial"/>
        </w:rPr>
        <w:t>A tűzvédelmi műszaki leírásban szereplő tűzvédelmi követelmények teljesítése a beruházó és a kivitelező felelőssége, az esetleges módosítások átvezetése az érintett alaprajzokra, más szakági leírásokba a tervező feladata. A tűzvédelmi műszaki leírás a beleegyezésem nélkül nem módosítható és csak az eredeti aláírással érvényes.</w:t>
      </w:r>
    </w:p>
    <w:p w:rsidR="00795B89" w:rsidRPr="00795B89" w:rsidRDefault="00795B89" w:rsidP="00795B89">
      <w:pPr>
        <w:rPr>
          <w:rFonts w:ascii="Arial" w:hAnsi="Arial" w:cs="Arial"/>
          <w:b/>
          <w:bCs/>
        </w:rPr>
      </w:pPr>
      <w:r w:rsidRPr="00795B89">
        <w:rPr>
          <w:rFonts w:ascii="Arial" w:hAnsi="Arial" w:cs="Arial"/>
          <w:b/>
          <w:bCs/>
        </w:rPr>
        <w:t xml:space="preserve">H a t v a n, 2016. november </w:t>
      </w:r>
      <w:r>
        <w:rPr>
          <w:rFonts w:ascii="Arial" w:hAnsi="Arial" w:cs="Arial"/>
          <w:b/>
          <w:bCs/>
        </w:rPr>
        <w:t>1</w:t>
      </w:r>
      <w:r w:rsidRPr="00795B89">
        <w:rPr>
          <w:rFonts w:ascii="Arial" w:hAnsi="Arial" w:cs="Arial"/>
          <w:b/>
          <w:bCs/>
        </w:rPr>
        <w:t>2.</w:t>
      </w:r>
    </w:p>
    <w:p w:rsidR="00795B89" w:rsidRDefault="00795B89" w:rsidP="00795B89">
      <w:pPr>
        <w:rPr>
          <w:b/>
          <w:bCs/>
        </w:rPr>
      </w:pPr>
    </w:p>
    <w:p w:rsidR="00795B89" w:rsidRDefault="00795B89" w:rsidP="00795B89">
      <w:pPr>
        <w:rPr>
          <w:b/>
          <w:bCs/>
        </w:rPr>
      </w:pPr>
    </w:p>
    <w:p w:rsidR="00795B89" w:rsidRPr="00394839" w:rsidRDefault="00795B89" w:rsidP="00795B89">
      <w:pPr>
        <w:rPr>
          <w:b/>
          <w:bCs/>
        </w:rPr>
      </w:pPr>
      <w:r>
        <w:rPr>
          <w:b/>
          <w:bCs/>
        </w:rPr>
        <w:t xml:space="preserve">                                                                                              </w:t>
      </w:r>
      <w:r w:rsidR="008208BD">
        <w:rPr>
          <w:b/>
          <w:noProof/>
        </w:rPr>
        <w:drawing>
          <wp:inline distT="0" distB="0" distL="0" distR="0">
            <wp:extent cx="1398905" cy="436880"/>
            <wp:effectExtent l="19050" t="0" r="0" b="0"/>
            <wp:docPr id="4" name="Kép 1" descr="D:\Hársfalvi László\Szakértő\HL aláírá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D:\Hársfalvi László\Szakértő\HL aláírás.png"/>
                    <pic:cNvPicPr>
                      <a:picLocks noChangeAspect="1" noChangeArrowheads="1"/>
                    </pic:cNvPicPr>
                  </pic:nvPicPr>
                  <pic:blipFill>
                    <a:blip r:embed="rId7" cstate="print"/>
                    <a:srcRect/>
                    <a:stretch>
                      <a:fillRect/>
                    </a:stretch>
                  </pic:blipFill>
                  <pic:spPr bwMode="auto">
                    <a:xfrm>
                      <a:off x="0" y="0"/>
                      <a:ext cx="1398905" cy="436880"/>
                    </a:xfrm>
                    <a:prstGeom prst="rect">
                      <a:avLst/>
                    </a:prstGeom>
                    <a:noFill/>
                    <a:ln w="9525">
                      <a:noFill/>
                      <a:miter lim="800000"/>
                      <a:headEnd/>
                      <a:tailEnd/>
                    </a:ln>
                  </pic:spPr>
                </pic:pic>
              </a:graphicData>
            </a:graphic>
          </wp:inline>
        </w:drawing>
      </w:r>
    </w:p>
    <w:tbl>
      <w:tblPr>
        <w:tblW w:w="0" w:type="auto"/>
        <w:tblCellMar>
          <w:left w:w="70" w:type="dxa"/>
          <w:right w:w="70" w:type="dxa"/>
        </w:tblCellMar>
        <w:tblLook w:val="0000"/>
      </w:tblPr>
      <w:tblGrid>
        <w:gridCol w:w="4606"/>
        <w:gridCol w:w="4606"/>
      </w:tblGrid>
      <w:tr w:rsidR="00795B89" w:rsidRPr="009A2D39" w:rsidTr="006C6762">
        <w:tc>
          <w:tcPr>
            <w:tcW w:w="4606" w:type="dxa"/>
          </w:tcPr>
          <w:p w:rsidR="00795B89" w:rsidRPr="009A2D39" w:rsidRDefault="00795B89" w:rsidP="006C6762">
            <w:pPr>
              <w:pStyle w:val="NormlWeb"/>
              <w:rPr>
                <w:i/>
                <w:iCs/>
                <w:sz w:val="22"/>
                <w:szCs w:val="22"/>
              </w:rPr>
            </w:pPr>
          </w:p>
          <w:p w:rsidR="00795B89" w:rsidRPr="009A2D39" w:rsidRDefault="00795B89" w:rsidP="006C6762">
            <w:pPr>
              <w:pStyle w:val="NormlWeb"/>
              <w:rPr>
                <w:i/>
                <w:iCs/>
                <w:sz w:val="22"/>
                <w:szCs w:val="22"/>
              </w:rPr>
            </w:pPr>
          </w:p>
        </w:tc>
        <w:tc>
          <w:tcPr>
            <w:tcW w:w="4606" w:type="dxa"/>
          </w:tcPr>
          <w:p w:rsidR="00795B89" w:rsidRPr="00AC1FA1" w:rsidRDefault="00795B89" w:rsidP="006C6762">
            <w:pPr>
              <w:pStyle w:val="NormlWeb"/>
              <w:widowControl w:val="0"/>
              <w:suppressAutoHyphens/>
              <w:adjustRightInd w:val="0"/>
              <w:spacing w:before="0" w:beforeAutospacing="0" w:after="0" w:afterAutospacing="0"/>
              <w:jc w:val="center"/>
              <w:textAlignment w:val="baseline"/>
              <w:rPr>
                <w:b/>
                <w:bCs/>
                <w:i/>
                <w:iCs/>
                <w:sz w:val="22"/>
                <w:szCs w:val="22"/>
              </w:rPr>
            </w:pPr>
            <w:r w:rsidRPr="00AC1FA1">
              <w:rPr>
                <w:b/>
                <w:bCs/>
                <w:i/>
                <w:iCs/>
                <w:sz w:val="22"/>
                <w:szCs w:val="22"/>
              </w:rPr>
              <w:t>Hársfalvi László</w:t>
            </w:r>
          </w:p>
          <w:p w:rsidR="00795B89" w:rsidRDefault="00795B89" w:rsidP="006C6762">
            <w:pPr>
              <w:pStyle w:val="NormlWeb"/>
              <w:spacing w:before="0" w:beforeAutospacing="0" w:after="0" w:afterAutospacing="0"/>
              <w:jc w:val="center"/>
              <w:rPr>
                <w:i/>
                <w:iCs/>
                <w:sz w:val="22"/>
                <w:szCs w:val="22"/>
              </w:rPr>
            </w:pPr>
            <w:r w:rsidRPr="009A2D39">
              <w:rPr>
                <w:i/>
                <w:iCs/>
                <w:sz w:val="22"/>
                <w:szCs w:val="22"/>
              </w:rPr>
              <w:t xml:space="preserve">építész tűzvédelmi szakértő </w:t>
            </w:r>
          </w:p>
          <w:p w:rsidR="00795B89" w:rsidRDefault="00795B89" w:rsidP="006C6762">
            <w:pPr>
              <w:pStyle w:val="NormlWeb"/>
              <w:spacing w:before="0" w:beforeAutospacing="0" w:after="0" w:afterAutospacing="0"/>
              <w:jc w:val="center"/>
              <w:rPr>
                <w:i/>
                <w:iCs/>
                <w:sz w:val="22"/>
                <w:szCs w:val="22"/>
              </w:rPr>
            </w:pPr>
            <w:r>
              <w:rPr>
                <w:i/>
                <w:iCs/>
                <w:sz w:val="22"/>
                <w:szCs w:val="22"/>
              </w:rPr>
              <w:t xml:space="preserve">BM OKF </w:t>
            </w:r>
            <w:r w:rsidRPr="009A2D39">
              <w:rPr>
                <w:i/>
                <w:iCs/>
                <w:sz w:val="22"/>
                <w:szCs w:val="22"/>
              </w:rPr>
              <w:t>I-080/20</w:t>
            </w:r>
            <w:r>
              <w:rPr>
                <w:i/>
                <w:iCs/>
                <w:sz w:val="22"/>
                <w:szCs w:val="22"/>
              </w:rPr>
              <w:t>13.</w:t>
            </w:r>
          </w:p>
          <w:p w:rsidR="00795B89" w:rsidRPr="009A2D39" w:rsidRDefault="00795B89" w:rsidP="006C6762">
            <w:pPr>
              <w:pStyle w:val="NormlWeb"/>
              <w:spacing w:before="0" w:beforeAutospacing="0" w:after="0" w:afterAutospacing="0"/>
              <w:jc w:val="center"/>
              <w:rPr>
                <w:i/>
                <w:iCs/>
                <w:sz w:val="22"/>
                <w:szCs w:val="22"/>
              </w:rPr>
            </w:pPr>
            <w:r>
              <w:rPr>
                <w:i/>
                <w:iCs/>
                <w:sz w:val="22"/>
                <w:szCs w:val="22"/>
              </w:rPr>
              <w:t>tel.: 0620-911-6267</w:t>
            </w:r>
          </w:p>
        </w:tc>
      </w:tr>
    </w:tbl>
    <w:p w:rsidR="003C0BD9" w:rsidRDefault="003C0BD9" w:rsidP="00DA5725">
      <w:pPr>
        <w:widowControl w:val="0"/>
        <w:adjustRightInd w:val="0"/>
        <w:rPr>
          <w:rFonts w:ascii="Arial" w:hAnsi="Arial" w:cs="Arial"/>
        </w:rPr>
      </w:pPr>
    </w:p>
    <w:p w:rsidR="004C71D2" w:rsidRDefault="004C71D2" w:rsidP="00DA5725">
      <w:pPr>
        <w:widowControl w:val="0"/>
        <w:adjustRightInd w:val="0"/>
        <w:rPr>
          <w:rFonts w:ascii="Arial" w:hAnsi="Arial" w:cs="Arial"/>
        </w:rPr>
      </w:pPr>
    </w:p>
    <w:sectPr w:rsidR="004C71D2" w:rsidSect="00C56A24">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32E" w:rsidRDefault="00DF632E" w:rsidP="00282595">
      <w:r>
        <w:separator/>
      </w:r>
    </w:p>
  </w:endnote>
  <w:endnote w:type="continuationSeparator" w:id="0">
    <w:p w:rsidR="00DF632E" w:rsidRDefault="00DF632E" w:rsidP="0028259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642473"/>
      <w:docPartObj>
        <w:docPartGallery w:val="Page Numbers (Bottom of Page)"/>
        <w:docPartUnique/>
      </w:docPartObj>
    </w:sdtPr>
    <w:sdtContent>
      <w:p w:rsidR="00282595" w:rsidRDefault="00282595">
        <w:pPr>
          <w:pStyle w:val="llb"/>
          <w:jc w:val="center"/>
        </w:pPr>
        <w:r>
          <w:t>-</w:t>
        </w:r>
        <w:fldSimple w:instr=" PAGE   \* MERGEFORMAT ">
          <w:r>
            <w:rPr>
              <w:noProof/>
            </w:rPr>
            <w:t>1</w:t>
          </w:r>
        </w:fldSimple>
        <w:r>
          <w:t>-</w:t>
        </w:r>
      </w:p>
    </w:sdtContent>
  </w:sdt>
  <w:p w:rsidR="00282595" w:rsidRDefault="00282595">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32E" w:rsidRDefault="00DF632E" w:rsidP="00282595">
      <w:r>
        <w:separator/>
      </w:r>
    </w:p>
  </w:footnote>
  <w:footnote w:type="continuationSeparator" w:id="0">
    <w:p w:rsidR="00DF632E" w:rsidRDefault="00DF632E" w:rsidP="002825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82DCD"/>
    <w:multiLevelType w:val="hybridMultilevel"/>
    <w:tmpl w:val="F312A6EA"/>
    <w:lvl w:ilvl="0" w:tplc="8B826F58">
      <w:numFmt w:val="bullet"/>
      <w:lvlText w:val="-"/>
      <w:lvlJc w:val="left"/>
      <w:pPr>
        <w:ind w:left="720" w:hanging="360"/>
      </w:pPr>
      <w:rPr>
        <w:rFonts w:ascii="Arial" w:eastAsia="Times New Roman" w:hAnsi="Arial" w:cs="Aria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nsid w:val="04625129"/>
    <w:multiLevelType w:val="hybridMultilevel"/>
    <w:tmpl w:val="CDA6D61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30BA174B"/>
    <w:multiLevelType w:val="hybridMultilevel"/>
    <w:tmpl w:val="70504910"/>
    <w:lvl w:ilvl="0" w:tplc="A0A2E478">
      <w:numFmt w:val="bullet"/>
      <w:lvlText w:val="-"/>
      <w:lvlJc w:val="left"/>
      <w:pPr>
        <w:ind w:left="4968" w:hanging="360"/>
      </w:pPr>
      <w:rPr>
        <w:rFonts w:ascii="TimesNewRoman" w:eastAsia="Calibri" w:hAnsi="TimesNewRoman" w:cs="Times New Roman" w:hint="default"/>
      </w:rPr>
    </w:lvl>
    <w:lvl w:ilvl="1" w:tplc="040E0003" w:tentative="1">
      <w:start w:val="1"/>
      <w:numFmt w:val="bullet"/>
      <w:lvlText w:val="o"/>
      <w:lvlJc w:val="left"/>
      <w:pPr>
        <w:ind w:left="5688" w:hanging="360"/>
      </w:pPr>
      <w:rPr>
        <w:rFonts w:ascii="Courier New" w:hAnsi="Courier New" w:cs="Courier New" w:hint="default"/>
      </w:rPr>
    </w:lvl>
    <w:lvl w:ilvl="2" w:tplc="040E0005" w:tentative="1">
      <w:start w:val="1"/>
      <w:numFmt w:val="bullet"/>
      <w:lvlText w:val=""/>
      <w:lvlJc w:val="left"/>
      <w:pPr>
        <w:ind w:left="6408" w:hanging="360"/>
      </w:pPr>
      <w:rPr>
        <w:rFonts w:ascii="Wingdings" w:hAnsi="Wingdings" w:hint="default"/>
      </w:rPr>
    </w:lvl>
    <w:lvl w:ilvl="3" w:tplc="040E0001" w:tentative="1">
      <w:start w:val="1"/>
      <w:numFmt w:val="bullet"/>
      <w:lvlText w:val=""/>
      <w:lvlJc w:val="left"/>
      <w:pPr>
        <w:ind w:left="7128" w:hanging="360"/>
      </w:pPr>
      <w:rPr>
        <w:rFonts w:ascii="Symbol" w:hAnsi="Symbol" w:hint="default"/>
      </w:rPr>
    </w:lvl>
    <w:lvl w:ilvl="4" w:tplc="040E0003" w:tentative="1">
      <w:start w:val="1"/>
      <w:numFmt w:val="bullet"/>
      <w:lvlText w:val="o"/>
      <w:lvlJc w:val="left"/>
      <w:pPr>
        <w:ind w:left="7848" w:hanging="360"/>
      </w:pPr>
      <w:rPr>
        <w:rFonts w:ascii="Courier New" w:hAnsi="Courier New" w:cs="Courier New" w:hint="default"/>
      </w:rPr>
    </w:lvl>
    <w:lvl w:ilvl="5" w:tplc="040E0005" w:tentative="1">
      <w:start w:val="1"/>
      <w:numFmt w:val="bullet"/>
      <w:lvlText w:val=""/>
      <w:lvlJc w:val="left"/>
      <w:pPr>
        <w:ind w:left="8568" w:hanging="360"/>
      </w:pPr>
      <w:rPr>
        <w:rFonts w:ascii="Wingdings" w:hAnsi="Wingdings" w:hint="default"/>
      </w:rPr>
    </w:lvl>
    <w:lvl w:ilvl="6" w:tplc="040E0001" w:tentative="1">
      <w:start w:val="1"/>
      <w:numFmt w:val="bullet"/>
      <w:lvlText w:val=""/>
      <w:lvlJc w:val="left"/>
      <w:pPr>
        <w:ind w:left="9288" w:hanging="360"/>
      </w:pPr>
      <w:rPr>
        <w:rFonts w:ascii="Symbol" w:hAnsi="Symbol" w:hint="default"/>
      </w:rPr>
    </w:lvl>
    <w:lvl w:ilvl="7" w:tplc="040E0003" w:tentative="1">
      <w:start w:val="1"/>
      <w:numFmt w:val="bullet"/>
      <w:lvlText w:val="o"/>
      <w:lvlJc w:val="left"/>
      <w:pPr>
        <w:ind w:left="10008" w:hanging="360"/>
      </w:pPr>
      <w:rPr>
        <w:rFonts w:ascii="Courier New" w:hAnsi="Courier New" w:cs="Courier New" w:hint="default"/>
      </w:rPr>
    </w:lvl>
    <w:lvl w:ilvl="8" w:tplc="040E0005" w:tentative="1">
      <w:start w:val="1"/>
      <w:numFmt w:val="bullet"/>
      <w:lvlText w:val=""/>
      <w:lvlJc w:val="left"/>
      <w:pPr>
        <w:ind w:left="10728" w:hanging="360"/>
      </w:pPr>
      <w:rPr>
        <w:rFonts w:ascii="Wingdings" w:hAnsi="Wingdings" w:hint="default"/>
      </w:rPr>
    </w:lvl>
  </w:abstractNum>
  <w:abstractNum w:abstractNumId="3">
    <w:nsid w:val="56250B52"/>
    <w:multiLevelType w:val="hybridMultilevel"/>
    <w:tmpl w:val="1176271C"/>
    <w:lvl w:ilvl="0" w:tplc="581EE300">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57A80148"/>
    <w:multiLevelType w:val="hybridMultilevel"/>
    <w:tmpl w:val="531CACC8"/>
    <w:lvl w:ilvl="0" w:tplc="5DC00A88">
      <w:start w:val="1"/>
      <w:numFmt w:val="bullet"/>
      <w:lvlText w:val="-"/>
      <w:lvlJc w:val="left"/>
      <w:pPr>
        <w:tabs>
          <w:tab w:val="num" w:pos="1065"/>
        </w:tabs>
        <w:ind w:left="1065" w:hanging="360"/>
      </w:pPr>
      <w:rPr>
        <w:rFonts w:ascii="Book Antiqua" w:eastAsia="Times New Roman" w:hAnsi="Book Antiqua"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5">
    <w:nsid w:val="63AB57BF"/>
    <w:multiLevelType w:val="hybridMultilevel"/>
    <w:tmpl w:val="8E32B998"/>
    <w:lvl w:ilvl="0" w:tplc="8A6246EE">
      <w:start w:val="3"/>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8"/>
  <w:hyphenationZone w:val="425"/>
  <w:characterSpacingControl w:val="doNotCompress"/>
  <w:footnotePr>
    <w:footnote w:id="-1"/>
    <w:footnote w:id="0"/>
  </w:footnotePr>
  <w:endnotePr>
    <w:endnote w:id="-1"/>
    <w:endnote w:id="0"/>
  </w:endnotePr>
  <w:compat/>
  <w:rsids>
    <w:rsidRoot w:val="002F043C"/>
    <w:rsid w:val="0002464A"/>
    <w:rsid w:val="00043A90"/>
    <w:rsid w:val="0004427F"/>
    <w:rsid w:val="000610FC"/>
    <w:rsid w:val="00071A21"/>
    <w:rsid w:val="00084E37"/>
    <w:rsid w:val="00105031"/>
    <w:rsid w:val="00112636"/>
    <w:rsid w:val="00192332"/>
    <w:rsid w:val="001C06F6"/>
    <w:rsid w:val="001D7978"/>
    <w:rsid w:val="002314D6"/>
    <w:rsid w:val="0025237C"/>
    <w:rsid w:val="002731DB"/>
    <w:rsid w:val="002733D3"/>
    <w:rsid w:val="00282595"/>
    <w:rsid w:val="0029618B"/>
    <w:rsid w:val="002F043C"/>
    <w:rsid w:val="002F62E2"/>
    <w:rsid w:val="00304759"/>
    <w:rsid w:val="00334315"/>
    <w:rsid w:val="003C0BD9"/>
    <w:rsid w:val="003E61F1"/>
    <w:rsid w:val="0040018D"/>
    <w:rsid w:val="00400A86"/>
    <w:rsid w:val="00455502"/>
    <w:rsid w:val="00456729"/>
    <w:rsid w:val="004A0D40"/>
    <w:rsid w:val="004A4A76"/>
    <w:rsid w:val="004C71D2"/>
    <w:rsid w:val="004D474C"/>
    <w:rsid w:val="004F66FC"/>
    <w:rsid w:val="00503EAC"/>
    <w:rsid w:val="005253B4"/>
    <w:rsid w:val="005676A8"/>
    <w:rsid w:val="005A74EB"/>
    <w:rsid w:val="006010B8"/>
    <w:rsid w:val="006C6762"/>
    <w:rsid w:val="006F0A52"/>
    <w:rsid w:val="006F25BD"/>
    <w:rsid w:val="0072273B"/>
    <w:rsid w:val="007426FF"/>
    <w:rsid w:val="0074635C"/>
    <w:rsid w:val="00795B89"/>
    <w:rsid w:val="007F19F9"/>
    <w:rsid w:val="00801C87"/>
    <w:rsid w:val="00806C9B"/>
    <w:rsid w:val="008208BD"/>
    <w:rsid w:val="008C0E53"/>
    <w:rsid w:val="008D3654"/>
    <w:rsid w:val="00963E5F"/>
    <w:rsid w:val="009D07C5"/>
    <w:rsid w:val="00A24A35"/>
    <w:rsid w:val="00AC60AF"/>
    <w:rsid w:val="00AD32C3"/>
    <w:rsid w:val="00B746AE"/>
    <w:rsid w:val="00C10EB5"/>
    <w:rsid w:val="00C54546"/>
    <w:rsid w:val="00C56A24"/>
    <w:rsid w:val="00C665AF"/>
    <w:rsid w:val="00C67B64"/>
    <w:rsid w:val="00C73FDC"/>
    <w:rsid w:val="00D22F19"/>
    <w:rsid w:val="00DA5725"/>
    <w:rsid w:val="00DB0CD5"/>
    <w:rsid w:val="00DD46F1"/>
    <w:rsid w:val="00DF43ED"/>
    <w:rsid w:val="00DF632E"/>
    <w:rsid w:val="00E27909"/>
    <w:rsid w:val="00E5737D"/>
    <w:rsid w:val="00FE059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footer" w:uiPriority="99"/>
    <w:lsdException w:name="caption" w:semiHidden="1" w:unhideWhenUsed="1" w:qFormat="1"/>
    <w:lsdException w:name="table of figures" w:uiPriority="99"/>
    <w:lsdException w:name="Title" w:qFormat="1"/>
    <w:lsdException w:name="Body Text" w:uiPriority="99"/>
    <w:lsdException w:name="Subtitle" w:uiPriority="99"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C56A24"/>
    <w:rPr>
      <w:sz w:val="24"/>
      <w:szCs w:val="24"/>
    </w:rPr>
  </w:style>
  <w:style w:type="paragraph" w:styleId="Cmsor1">
    <w:name w:val="heading 1"/>
    <w:basedOn w:val="Norml"/>
    <w:next w:val="Norml"/>
    <w:link w:val="Cmsor1Char"/>
    <w:uiPriority w:val="99"/>
    <w:qFormat/>
    <w:rsid w:val="00DA5725"/>
    <w:pPr>
      <w:keepNext/>
      <w:autoSpaceDE w:val="0"/>
      <w:autoSpaceDN w:val="0"/>
      <w:spacing w:before="480" w:after="60"/>
      <w:jc w:val="both"/>
      <w:outlineLvl w:val="0"/>
    </w:pPr>
    <w:rPr>
      <w:rFonts w:ascii="Arial" w:hAnsi="Arial" w:cs="Arial"/>
      <w:b/>
      <w:bCs/>
      <w:color w:val="000000"/>
      <w:sz w:val="32"/>
      <w:szCs w:val="32"/>
      <w:lang w:val="de-DE"/>
    </w:rPr>
  </w:style>
  <w:style w:type="paragraph" w:styleId="Cmsor2">
    <w:name w:val="heading 2"/>
    <w:basedOn w:val="Norml"/>
    <w:next w:val="Norml"/>
    <w:link w:val="Cmsor2Char"/>
    <w:uiPriority w:val="99"/>
    <w:qFormat/>
    <w:rsid w:val="00DA5725"/>
    <w:pPr>
      <w:keepNext/>
      <w:autoSpaceDE w:val="0"/>
      <w:autoSpaceDN w:val="0"/>
      <w:spacing w:before="240" w:after="60"/>
      <w:jc w:val="both"/>
      <w:outlineLvl w:val="1"/>
    </w:pPr>
    <w:rPr>
      <w:rFonts w:ascii="Arial" w:hAnsi="Arial" w:cs="Arial"/>
      <w:b/>
      <w:bCs/>
      <w:sz w:val="28"/>
      <w:szCs w:val="28"/>
      <w:lang w:val="de-DE"/>
    </w:rPr>
  </w:style>
  <w:style w:type="paragraph" w:styleId="Cmsor3">
    <w:name w:val="heading 3"/>
    <w:basedOn w:val="Norml"/>
    <w:next w:val="Norml"/>
    <w:link w:val="Cmsor3Char"/>
    <w:uiPriority w:val="99"/>
    <w:qFormat/>
    <w:rsid w:val="00DA5725"/>
    <w:pPr>
      <w:keepNext/>
      <w:autoSpaceDE w:val="0"/>
      <w:autoSpaceDN w:val="0"/>
      <w:spacing w:before="240" w:after="60"/>
      <w:jc w:val="both"/>
      <w:outlineLvl w:val="2"/>
    </w:pPr>
    <w:rPr>
      <w:rFonts w:ascii="Arial" w:hAnsi="Arial" w:cs="Arial"/>
      <w:b/>
      <w:bCs/>
      <w:lang w:val="de-DE"/>
    </w:rPr>
  </w:style>
  <w:style w:type="paragraph" w:styleId="Cmsor4">
    <w:name w:val="heading 4"/>
    <w:basedOn w:val="Norml"/>
    <w:next w:val="Norml"/>
    <w:link w:val="Cmsor4Char"/>
    <w:uiPriority w:val="99"/>
    <w:qFormat/>
    <w:rsid w:val="00DA5725"/>
    <w:pPr>
      <w:keepNext/>
      <w:autoSpaceDE w:val="0"/>
      <w:autoSpaceDN w:val="0"/>
      <w:spacing w:before="240" w:after="60"/>
      <w:jc w:val="both"/>
      <w:outlineLvl w:val="3"/>
    </w:pPr>
    <w:rPr>
      <w:rFonts w:ascii="Arial" w:hAnsi="Arial" w:cs="Arial"/>
      <w:b/>
      <w:bCs/>
      <w:sz w:val="20"/>
      <w:szCs w:val="20"/>
      <w:lang w:val="de-DE"/>
    </w:rPr>
  </w:style>
  <w:style w:type="paragraph" w:styleId="Cmsor5">
    <w:name w:val="heading 5"/>
    <w:basedOn w:val="Norml"/>
    <w:next w:val="Norml"/>
    <w:link w:val="Cmsor5Char"/>
    <w:uiPriority w:val="99"/>
    <w:qFormat/>
    <w:rsid w:val="00DA5725"/>
    <w:pPr>
      <w:keepNext/>
      <w:autoSpaceDE w:val="0"/>
      <w:autoSpaceDN w:val="0"/>
      <w:spacing w:before="120" w:after="60"/>
      <w:outlineLvl w:val="4"/>
    </w:pPr>
    <w:rPr>
      <w:rFonts w:ascii="Arial" w:hAnsi="Arial" w:cs="Arial"/>
      <w:b/>
      <w:bCs/>
      <w:sz w:val="20"/>
      <w:szCs w:val="20"/>
      <w:lang w:val="de-DE"/>
    </w:rPr>
  </w:style>
  <w:style w:type="paragraph" w:styleId="Cmsor6">
    <w:name w:val="heading 6"/>
    <w:basedOn w:val="Norml"/>
    <w:next w:val="Norml"/>
    <w:link w:val="Cmsor6Char"/>
    <w:uiPriority w:val="99"/>
    <w:qFormat/>
    <w:rsid w:val="00DA5725"/>
    <w:pPr>
      <w:keepNext/>
      <w:autoSpaceDE w:val="0"/>
      <w:autoSpaceDN w:val="0"/>
      <w:spacing w:before="120" w:after="60"/>
      <w:outlineLvl w:val="5"/>
    </w:pPr>
    <w:rPr>
      <w:rFonts w:ascii="Arial" w:hAnsi="Arial" w:cs="Arial"/>
      <w:b/>
      <w:bCs/>
      <w:sz w:val="20"/>
      <w:szCs w:val="20"/>
      <w:lang w:val="de-DE"/>
    </w:rPr>
  </w:style>
  <w:style w:type="paragraph" w:styleId="Cmsor7">
    <w:name w:val="heading 7"/>
    <w:basedOn w:val="Norml"/>
    <w:next w:val="Norml"/>
    <w:link w:val="Cmsor7Char"/>
    <w:uiPriority w:val="99"/>
    <w:qFormat/>
    <w:rsid w:val="00DA5725"/>
    <w:pPr>
      <w:keepNext/>
      <w:autoSpaceDE w:val="0"/>
      <w:autoSpaceDN w:val="0"/>
      <w:spacing w:before="120" w:after="60"/>
      <w:outlineLvl w:val="6"/>
    </w:pPr>
    <w:rPr>
      <w:rFonts w:ascii="Arial" w:hAnsi="Arial" w:cs="Arial"/>
      <w:b/>
      <w:bCs/>
      <w:sz w:val="20"/>
      <w:szCs w:val="20"/>
      <w:lang w:val="de-DE"/>
    </w:rPr>
  </w:style>
  <w:style w:type="paragraph" w:styleId="Cmsor8">
    <w:name w:val="heading 8"/>
    <w:basedOn w:val="Norml"/>
    <w:next w:val="Norml"/>
    <w:link w:val="Cmsor8Char"/>
    <w:uiPriority w:val="99"/>
    <w:qFormat/>
    <w:rsid w:val="00DA5725"/>
    <w:pPr>
      <w:keepNext/>
      <w:autoSpaceDE w:val="0"/>
      <w:autoSpaceDN w:val="0"/>
      <w:spacing w:before="120" w:after="60"/>
      <w:outlineLvl w:val="7"/>
    </w:pPr>
    <w:rPr>
      <w:rFonts w:ascii="Arial" w:hAnsi="Arial" w:cs="Arial"/>
      <w:b/>
      <w:bCs/>
      <w:sz w:val="20"/>
      <w:szCs w:val="20"/>
      <w:lang w:val="de-DE"/>
    </w:rPr>
  </w:style>
  <w:style w:type="paragraph" w:styleId="Cmsor9">
    <w:name w:val="heading 9"/>
    <w:basedOn w:val="Norml"/>
    <w:next w:val="Norml"/>
    <w:link w:val="Cmsor9Char"/>
    <w:uiPriority w:val="99"/>
    <w:qFormat/>
    <w:rsid w:val="00DA5725"/>
    <w:pPr>
      <w:autoSpaceDE w:val="0"/>
      <w:autoSpaceDN w:val="0"/>
      <w:spacing w:before="120" w:after="60"/>
      <w:outlineLvl w:val="8"/>
    </w:pPr>
    <w:rPr>
      <w:rFonts w:ascii="Arial" w:hAnsi="Arial" w:cs="Arial"/>
      <w:b/>
      <w:bCs/>
      <w:sz w:val="20"/>
      <w:szCs w:val="20"/>
      <w:lang w:val="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A5725"/>
    <w:rPr>
      <w:rFonts w:ascii="Arial" w:hAnsi="Arial" w:cs="Arial"/>
      <w:b/>
      <w:bCs/>
      <w:color w:val="000000"/>
      <w:sz w:val="32"/>
      <w:szCs w:val="32"/>
      <w:lang w:val="de-DE"/>
    </w:rPr>
  </w:style>
  <w:style w:type="character" w:customStyle="1" w:styleId="Cmsor2Char">
    <w:name w:val="Címsor 2 Char"/>
    <w:basedOn w:val="Bekezdsalapbettpusa"/>
    <w:link w:val="Cmsor2"/>
    <w:uiPriority w:val="9"/>
    <w:rsid w:val="00DA5725"/>
    <w:rPr>
      <w:rFonts w:ascii="Arial" w:hAnsi="Arial" w:cs="Arial"/>
      <w:b/>
      <w:bCs/>
      <w:sz w:val="28"/>
      <w:szCs w:val="28"/>
      <w:lang w:val="de-DE"/>
    </w:rPr>
  </w:style>
  <w:style w:type="character" w:customStyle="1" w:styleId="Cmsor3Char">
    <w:name w:val="Címsor 3 Char"/>
    <w:basedOn w:val="Bekezdsalapbettpusa"/>
    <w:link w:val="Cmsor3"/>
    <w:uiPriority w:val="99"/>
    <w:semiHidden/>
    <w:rsid w:val="00DA5725"/>
    <w:rPr>
      <w:rFonts w:ascii="Arial" w:hAnsi="Arial" w:cs="Arial"/>
      <w:b/>
      <w:bCs/>
      <w:sz w:val="24"/>
      <w:szCs w:val="24"/>
      <w:lang w:val="de-DE"/>
    </w:rPr>
  </w:style>
  <w:style w:type="character" w:customStyle="1" w:styleId="Cmsor4Char">
    <w:name w:val="Címsor 4 Char"/>
    <w:basedOn w:val="Bekezdsalapbettpusa"/>
    <w:link w:val="Cmsor4"/>
    <w:uiPriority w:val="99"/>
    <w:semiHidden/>
    <w:rsid w:val="00DA5725"/>
    <w:rPr>
      <w:rFonts w:ascii="Arial" w:hAnsi="Arial" w:cs="Arial"/>
      <w:b/>
      <w:bCs/>
      <w:lang w:val="de-DE"/>
    </w:rPr>
  </w:style>
  <w:style w:type="character" w:customStyle="1" w:styleId="Cmsor5Char">
    <w:name w:val="Címsor 5 Char"/>
    <w:basedOn w:val="Bekezdsalapbettpusa"/>
    <w:link w:val="Cmsor5"/>
    <w:uiPriority w:val="99"/>
    <w:semiHidden/>
    <w:rsid w:val="00DA5725"/>
    <w:rPr>
      <w:rFonts w:ascii="Arial" w:hAnsi="Arial" w:cs="Arial"/>
      <w:b/>
      <w:bCs/>
      <w:lang w:val="de-DE"/>
    </w:rPr>
  </w:style>
  <w:style w:type="character" w:customStyle="1" w:styleId="Cmsor6Char">
    <w:name w:val="Címsor 6 Char"/>
    <w:basedOn w:val="Bekezdsalapbettpusa"/>
    <w:link w:val="Cmsor6"/>
    <w:uiPriority w:val="99"/>
    <w:semiHidden/>
    <w:rsid w:val="00DA5725"/>
    <w:rPr>
      <w:rFonts w:ascii="Arial" w:hAnsi="Arial" w:cs="Arial"/>
      <w:b/>
      <w:bCs/>
      <w:lang w:val="de-DE"/>
    </w:rPr>
  </w:style>
  <w:style w:type="character" w:customStyle="1" w:styleId="Cmsor7Char">
    <w:name w:val="Címsor 7 Char"/>
    <w:basedOn w:val="Bekezdsalapbettpusa"/>
    <w:link w:val="Cmsor7"/>
    <w:uiPriority w:val="99"/>
    <w:semiHidden/>
    <w:rsid w:val="00DA5725"/>
    <w:rPr>
      <w:rFonts w:ascii="Arial" w:hAnsi="Arial" w:cs="Arial"/>
      <w:b/>
      <w:bCs/>
      <w:lang w:val="de-DE"/>
    </w:rPr>
  </w:style>
  <w:style w:type="character" w:customStyle="1" w:styleId="Cmsor8Char">
    <w:name w:val="Címsor 8 Char"/>
    <w:basedOn w:val="Bekezdsalapbettpusa"/>
    <w:link w:val="Cmsor8"/>
    <w:uiPriority w:val="99"/>
    <w:semiHidden/>
    <w:rsid w:val="00DA5725"/>
    <w:rPr>
      <w:rFonts w:ascii="Arial" w:hAnsi="Arial" w:cs="Arial"/>
      <w:b/>
      <w:bCs/>
      <w:lang w:val="de-DE"/>
    </w:rPr>
  </w:style>
  <w:style w:type="character" w:customStyle="1" w:styleId="Cmsor9Char">
    <w:name w:val="Címsor 9 Char"/>
    <w:basedOn w:val="Bekezdsalapbettpusa"/>
    <w:link w:val="Cmsor9"/>
    <w:uiPriority w:val="99"/>
    <w:semiHidden/>
    <w:rsid w:val="00DA5725"/>
    <w:rPr>
      <w:rFonts w:ascii="Arial" w:hAnsi="Arial" w:cs="Arial"/>
      <w:b/>
      <w:bCs/>
      <w:lang w:val="de-DE"/>
    </w:rPr>
  </w:style>
  <w:style w:type="paragraph" w:styleId="Lbjegyzetszveg">
    <w:name w:val="footnote text"/>
    <w:basedOn w:val="Norml"/>
    <w:next w:val="Norml"/>
    <w:link w:val="LbjegyzetszvegChar"/>
    <w:uiPriority w:val="99"/>
    <w:unhideWhenUsed/>
    <w:rsid w:val="00DA5725"/>
    <w:pPr>
      <w:autoSpaceDE w:val="0"/>
      <w:autoSpaceDN w:val="0"/>
      <w:jc w:val="both"/>
    </w:pPr>
    <w:rPr>
      <w:rFonts w:ascii="Arial" w:hAnsi="Arial" w:cs="Arial"/>
      <w:i/>
      <w:iCs/>
      <w:color w:val="FF0000"/>
      <w:sz w:val="20"/>
      <w:szCs w:val="20"/>
      <w:lang w:val="de-DE"/>
    </w:rPr>
  </w:style>
  <w:style w:type="character" w:customStyle="1" w:styleId="LbjegyzetszvegChar">
    <w:name w:val="Lábjegyzetszöveg Char"/>
    <w:basedOn w:val="Bekezdsalapbettpusa"/>
    <w:link w:val="Lbjegyzetszveg"/>
    <w:uiPriority w:val="99"/>
    <w:rsid w:val="00DA5725"/>
    <w:rPr>
      <w:rFonts w:ascii="Arial" w:hAnsi="Arial" w:cs="Arial"/>
      <w:i/>
      <w:iCs/>
      <w:color w:val="FF0000"/>
      <w:lang w:val="de-DE"/>
    </w:rPr>
  </w:style>
  <w:style w:type="paragraph" w:styleId="Jegyzetszveg">
    <w:name w:val="annotation text"/>
    <w:basedOn w:val="Norml"/>
    <w:next w:val="Norml"/>
    <w:link w:val="JegyzetszvegChar"/>
    <w:uiPriority w:val="99"/>
    <w:unhideWhenUsed/>
    <w:rsid w:val="00DA5725"/>
    <w:pPr>
      <w:autoSpaceDE w:val="0"/>
      <w:autoSpaceDN w:val="0"/>
      <w:jc w:val="both"/>
    </w:pPr>
    <w:rPr>
      <w:rFonts w:ascii="Arial" w:hAnsi="Arial" w:cs="Arial"/>
      <w:i/>
      <w:iCs/>
      <w:color w:val="008000"/>
      <w:sz w:val="20"/>
      <w:szCs w:val="20"/>
      <w:lang w:val="de-DE"/>
    </w:rPr>
  </w:style>
  <w:style w:type="character" w:customStyle="1" w:styleId="JegyzetszvegChar">
    <w:name w:val="Jegyzetszöveg Char"/>
    <w:basedOn w:val="Bekezdsalapbettpusa"/>
    <w:link w:val="Jegyzetszveg"/>
    <w:uiPriority w:val="99"/>
    <w:rsid w:val="00DA5725"/>
    <w:rPr>
      <w:rFonts w:ascii="Arial" w:hAnsi="Arial" w:cs="Arial"/>
      <w:i/>
      <w:iCs/>
      <w:color w:val="008000"/>
      <w:lang w:val="de-DE"/>
    </w:rPr>
  </w:style>
  <w:style w:type="paragraph" w:styleId="brajegyzk">
    <w:name w:val="table of figures"/>
    <w:basedOn w:val="Norml"/>
    <w:next w:val="Norml"/>
    <w:uiPriority w:val="99"/>
    <w:unhideWhenUsed/>
    <w:rsid w:val="00DA5725"/>
    <w:pPr>
      <w:autoSpaceDE w:val="0"/>
      <w:autoSpaceDN w:val="0"/>
      <w:ind w:left="403" w:hanging="403"/>
      <w:jc w:val="center"/>
    </w:pPr>
    <w:rPr>
      <w:rFonts w:ascii="Arial" w:hAnsi="Arial" w:cs="Arial"/>
      <w:i/>
      <w:iCs/>
      <w:color w:val="0000FF"/>
      <w:sz w:val="20"/>
      <w:szCs w:val="20"/>
      <w:lang w:val="de-DE"/>
    </w:rPr>
  </w:style>
  <w:style w:type="paragraph" w:styleId="Listaszerbekezds">
    <w:name w:val="List Paragraph"/>
    <w:basedOn w:val="Norml"/>
    <w:link w:val="ListaszerbekezdsChar"/>
    <w:uiPriority w:val="34"/>
    <w:qFormat/>
    <w:rsid w:val="00DA5725"/>
    <w:pPr>
      <w:autoSpaceDE w:val="0"/>
      <w:autoSpaceDN w:val="0"/>
      <w:ind w:left="708"/>
      <w:jc w:val="both"/>
    </w:pPr>
    <w:rPr>
      <w:rFonts w:ascii="Arial" w:hAnsi="Arial" w:cs="Arial"/>
      <w:sz w:val="20"/>
      <w:szCs w:val="20"/>
      <w:lang w:val="de-DE"/>
    </w:rPr>
  </w:style>
  <w:style w:type="character" w:customStyle="1" w:styleId="Stlus">
    <w:name w:val="Stílus"/>
    <w:uiPriority w:val="99"/>
    <w:rsid w:val="00DA5725"/>
  </w:style>
  <w:style w:type="paragraph" w:styleId="Szvegtrzs">
    <w:name w:val="Body Text"/>
    <w:basedOn w:val="Norml"/>
    <w:link w:val="SzvegtrzsChar"/>
    <w:uiPriority w:val="99"/>
    <w:rsid w:val="00795B89"/>
    <w:pPr>
      <w:overflowPunct w:val="0"/>
      <w:autoSpaceDE w:val="0"/>
      <w:autoSpaceDN w:val="0"/>
      <w:adjustRightInd w:val="0"/>
      <w:jc w:val="both"/>
      <w:textAlignment w:val="baseline"/>
    </w:pPr>
    <w:rPr>
      <w:sz w:val="28"/>
      <w:szCs w:val="28"/>
    </w:rPr>
  </w:style>
  <w:style w:type="character" w:customStyle="1" w:styleId="SzvegtrzsChar">
    <w:name w:val="Szövegtörzs Char"/>
    <w:basedOn w:val="Bekezdsalapbettpusa"/>
    <w:link w:val="Szvegtrzs"/>
    <w:uiPriority w:val="99"/>
    <w:rsid w:val="00795B89"/>
    <w:rPr>
      <w:sz w:val="28"/>
      <w:szCs w:val="28"/>
    </w:rPr>
  </w:style>
  <w:style w:type="paragraph" w:styleId="NormlWeb">
    <w:name w:val="Normal (Web)"/>
    <w:basedOn w:val="Norml"/>
    <w:uiPriority w:val="99"/>
    <w:rsid w:val="00795B89"/>
    <w:pPr>
      <w:spacing w:before="100" w:beforeAutospacing="1" w:after="100" w:afterAutospacing="1"/>
      <w:jc w:val="both"/>
    </w:pPr>
    <w:rPr>
      <w:color w:val="000000"/>
    </w:rPr>
  </w:style>
  <w:style w:type="paragraph" w:styleId="Alcm">
    <w:name w:val="Subtitle"/>
    <w:basedOn w:val="Norml"/>
    <w:link w:val="AlcmChar"/>
    <w:uiPriority w:val="99"/>
    <w:qFormat/>
    <w:rsid w:val="00795B89"/>
    <w:pPr>
      <w:jc w:val="center"/>
    </w:pPr>
    <w:rPr>
      <w:rFonts w:ascii="Arial Narrow" w:hAnsi="Arial Narrow" w:cs="Arial Narrow"/>
      <w:b/>
      <w:bCs/>
    </w:rPr>
  </w:style>
  <w:style w:type="character" w:customStyle="1" w:styleId="AlcmChar">
    <w:name w:val="Alcím Char"/>
    <w:basedOn w:val="Bekezdsalapbettpusa"/>
    <w:link w:val="Alcm"/>
    <w:uiPriority w:val="99"/>
    <w:rsid w:val="00795B89"/>
    <w:rPr>
      <w:rFonts w:ascii="Arial Narrow" w:hAnsi="Arial Narrow" w:cs="Arial Narrow"/>
      <w:b/>
      <w:bCs/>
      <w:sz w:val="24"/>
      <w:szCs w:val="24"/>
    </w:rPr>
  </w:style>
  <w:style w:type="paragraph" w:customStyle="1" w:styleId="Szvegtrzs31">
    <w:name w:val="Szövegtörzs 31"/>
    <w:basedOn w:val="Norml"/>
    <w:rsid w:val="00795B89"/>
    <w:pPr>
      <w:suppressAutoHyphens/>
      <w:jc w:val="both"/>
    </w:pPr>
    <w:rPr>
      <w:szCs w:val="20"/>
      <w:u w:val="single"/>
      <w:lang w:eastAsia="ar-SA"/>
    </w:rPr>
  </w:style>
  <w:style w:type="paragraph" w:customStyle="1" w:styleId="Szerz">
    <w:name w:val="Szerző"/>
    <w:basedOn w:val="Norml"/>
    <w:rsid w:val="007F19F9"/>
    <w:pPr>
      <w:jc w:val="center"/>
    </w:pPr>
    <w:rPr>
      <w:b/>
    </w:rPr>
  </w:style>
  <w:style w:type="character" w:customStyle="1" w:styleId="ListaszerbekezdsChar">
    <w:name w:val="Listaszerű bekezdés Char"/>
    <w:basedOn w:val="Bekezdsalapbettpusa"/>
    <w:link w:val="Listaszerbekezds"/>
    <w:uiPriority w:val="34"/>
    <w:locked/>
    <w:rsid w:val="007F19F9"/>
    <w:rPr>
      <w:rFonts w:ascii="Arial" w:hAnsi="Arial" w:cs="Arial"/>
      <w:lang w:val="de-DE"/>
    </w:rPr>
  </w:style>
  <w:style w:type="paragraph" w:styleId="Buborkszveg">
    <w:name w:val="Balloon Text"/>
    <w:basedOn w:val="Norml"/>
    <w:link w:val="BuborkszvegChar"/>
    <w:rsid w:val="005253B4"/>
    <w:rPr>
      <w:rFonts w:ascii="Tahoma" w:hAnsi="Tahoma" w:cs="Tahoma"/>
      <w:sz w:val="16"/>
      <w:szCs w:val="16"/>
    </w:rPr>
  </w:style>
  <w:style w:type="character" w:customStyle="1" w:styleId="BuborkszvegChar">
    <w:name w:val="Buborékszöveg Char"/>
    <w:basedOn w:val="Bekezdsalapbettpusa"/>
    <w:link w:val="Buborkszveg"/>
    <w:rsid w:val="005253B4"/>
    <w:rPr>
      <w:rFonts w:ascii="Tahoma" w:hAnsi="Tahoma" w:cs="Tahoma"/>
      <w:sz w:val="16"/>
      <w:szCs w:val="16"/>
    </w:rPr>
  </w:style>
  <w:style w:type="paragraph" w:styleId="lfej">
    <w:name w:val="header"/>
    <w:basedOn w:val="Norml"/>
    <w:link w:val="lfejChar"/>
    <w:rsid w:val="00282595"/>
    <w:pPr>
      <w:tabs>
        <w:tab w:val="center" w:pos="4536"/>
        <w:tab w:val="right" w:pos="9072"/>
      </w:tabs>
    </w:pPr>
  </w:style>
  <w:style w:type="character" w:customStyle="1" w:styleId="lfejChar">
    <w:name w:val="Élőfej Char"/>
    <w:basedOn w:val="Bekezdsalapbettpusa"/>
    <w:link w:val="lfej"/>
    <w:rsid w:val="00282595"/>
    <w:rPr>
      <w:sz w:val="24"/>
      <w:szCs w:val="24"/>
    </w:rPr>
  </w:style>
  <w:style w:type="paragraph" w:styleId="llb">
    <w:name w:val="footer"/>
    <w:basedOn w:val="Norml"/>
    <w:link w:val="llbChar"/>
    <w:uiPriority w:val="99"/>
    <w:rsid w:val="00282595"/>
    <w:pPr>
      <w:tabs>
        <w:tab w:val="center" w:pos="4536"/>
        <w:tab w:val="right" w:pos="9072"/>
      </w:tabs>
    </w:pPr>
  </w:style>
  <w:style w:type="character" w:customStyle="1" w:styleId="llbChar">
    <w:name w:val="Élőláb Char"/>
    <w:basedOn w:val="Bekezdsalapbettpusa"/>
    <w:link w:val="llb"/>
    <w:uiPriority w:val="99"/>
    <w:rsid w:val="00282595"/>
    <w:rPr>
      <w:sz w:val="24"/>
      <w:szCs w:val="24"/>
    </w:rPr>
  </w:style>
</w:styles>
</file>

<file path=word/webSettings.xml><?xml version="1.0" encoding="utf-8"?>
<w:webSettings xmlns:r="http://schemas.openxmlformats.org/officeDocument/2006/relationships" xmlns:w="http://schemas.openxmlformats.org/wordprocessingml/2006/main">
  <w:divs>
    <w:div w:id="17951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3940</Words>
  <Characters>27193</Characters>
  <Application>Microsoft Office Word</Application>
  <DocSecurity>0</DocSecurity>
  <Lines>226</Lines>
  <Paragraphs>62</Paragraphs>
  <ScaleCrop>false</ScaleCrop>
  <HeadingPairs>
    <vt:vector size="2" baseType="variant">
      <vt:variant>
        <vt:lpstr>Cím</vt:lpstr>
      </vt:variant>
      <vt:variant>
        <vt:i4>1</vt:i4>
      </vt:variant>
    </vt:vector>
  </HeadingPairs>
  <TitlesOfParts>
    <vt:vector size="1" baseType="lpstr">
      <vt:lpstr>ÉPÍTÉSI ENGEDÉLYEZÉSI TERVDOKUMENTÁCIÓ</vt:lpstr>
    </vt:vector>
  </TitlesOfParts>
  <Company>Iparterv Béta Kft.</Company>
  <LinksUpToDate>false</LinksUpToDate>
  <CharactersWithSpaces>31071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ÉPÍTÉSI ENGEDÉLYEZÉSI TERVDOKUMENTÁCIÓ</dc:title>
  <dc:creator>Sebestény István_2</dc:creator>
  <cp:lastModifiedBy>Tömösközi István</cp:lastModifiedBy>
  <cp:revision>4</cp:revision>
  <dcterms:created xsi:type="dcterms:W3CDTF">2017-03-26T20:41:00Z</dcterms:created>
  <dcterms:modified xsi:type="dcterms:W3CDTF">2017-03-26T21:25:00Z</dcterms:modified>
</cp:coreProperties>
</file>